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楷体_GB2312" w:hAnsi="楷体" w:eastAsia="楷体_GB2312" w:cs="楷体_GB2312"/>
          <w:color w:val="000000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深圳市光明区人民医院2024年度工作要点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总体要求：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坚持以习近平新时代中国特色社会主义思想为指导，全面贯彻落实党的二十大和二十届二中全会精神，按照区二届二次党代会工作安排，牢牢把握高质量发展首要任务，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坚持党建引领医院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发展建设，创新促进“医、教、研、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、管”全面提升，凝聚医院高质量发展的强大合力。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以“提质增效”为主线，进一步改善患者就医环境和医务人员执医环境，提升医疗技术质量和医疗服务质量，不断增强人民群众就医获得感、幸福感和安全感。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坚持系统推进，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打赢</w:t>
      </w:r>
      <w:r>
        <w:rPr>
          <w:rFonts w:hint="eastAsia" w:ascii="黑体" w:hAnsi="黑体" w:eastAsia="黑体" w:cs="黑体"/>
          <w:color w:val="000000"/>
          <w:sz w:val="32"/>
          <w:szCs w:val="32"/>
          <w:lang w:bidi="ar"/>
        </w:rPr>
        <w:t>国际医院认证攻坚战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根据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评审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时间节点，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压实院科两主体责任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，对发现问题立行立改，明确责任清单和完成时限，确保存在问题整改到位，对照《医院质量国际认证标准（2021版）》条款要求，建立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常态化督导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工作机制，以三甲创建精神，推动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国际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医院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评审工作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确保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2024年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上半年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通过国际认证。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二、以“国考”为抓手，助推医院高质量发展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default" w:ascii="仿宋_GB2312" w:hAnsi="仿宋" w:eastAsia="仿宋_GB2312" w:cs="仿宋"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持续推进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高质量紧密型医疗集团、研究型医院、临床重点专科群、高质量人才队伍、“三位一体”智慧医院等“五大任务”，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深入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实施医疗服务质量提升、改善患者就医体验、管理效能提升、科研攻关、基层党建品牌提升等“五大行动”，实现医学中心建设、社康改革、运营管理新突破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强化医院、社管中心、社康中心三级院感防控督导机制，为患者提供高效、安全、便捷诊疗服务。持续开展全员院感防控培训考核，优化各类应急处置预案，保障各项诊疗服务正常开展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同时以“国考”为导向，对照标准找差距，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完善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医疗服务与质量安全指标监测体系，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科学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设定院科两级目标值，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紧抓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综合目标考核管理，实现门诊住院服务量增幅10%，完成4级手术3500例，微创手术4800例，力争医院“国考”挺进A等级，满意度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保持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全市前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20名。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三、加强学科建设，提升医院核心竞争力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推动国家创伤中心创建工作，提升区域急危重症救治能力。强化区级重点学科年度综合目标绩效管理和质量控制，推动重点学科建设在医、教、研、产、管迈上新台阶。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在上级的支持和指导下，完成临床专科评估和发展规划项目，为全院学科规划布局提供决策支撑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。紧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盯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区域内疾病谱和重点疾病诊疗需求，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深化专科与全科协同机制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，遴选2-3个重点学科、特色学科、重点实验室，争取具备市级重点学科申报条件。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四、推进智慧医疗，完成电子病历五级创建任务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全面完成</w:t>
      </w:r>
      <w:r>
        <w:rPr>
          <w:rFonts w:ascii="仿宋_GB2312" w:hAnsi="宋体" w:eastAsia="仿宋_GB2312" w:cs="宋体"/>
          <w:color w:val="000000"/>
          <w:sz w:val="32"/>
          <w:szCs w:val="32"/>
        </w:rPr>
        <w:t>医院更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名</w:t>
      </w:r>
      <w:r>
        <w:rPr>
          <w:rFonts w:ascii="仿宋_GB2312" w:hAnsi="宋体" w:eastAsia="仿宋_GB2312" w:cs="宋体"/>
          <w:color w:val="000000"/>
          <w:sz w:val="32"/>
          <w:szCs w:val="32"/>
        </w:rPr>
        <w:t>后软硬件信息系统</w:t>
      </w:r>
      <w:r>
        <w:rPr>
          <w:rFonts w:hint="eastAsia" w:ascii="仿宋_GB2312" w:hAnsi="宋体" w:eastAsia="仿宋_GB2312" w:cs="宋体"/>
          <w:color w:val="000000"/>
          <w:sz w:val="32"/>
          <w:szCs w:val="32"/>
          <w:lang w:val="en-US" w:eastAsia="zh-CN"/>
        </w:rPr>
        <w:t>更新，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强化信息化电子病历应用水平评价、智慧服务应用水平评价、智慧管理应用水平评价评级工作，以“三甲”创建精神，细化电子病历五级创建措施，夯实各科室主体责任，全面做好医、护、药、技等人员的培训考核，扎实做好国家评审申报和现场考核准备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五、创新合作模式，持续提升科研教学质量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以临床医学院为平台，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创新院校合作模式，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开展高质量临床教学和临床实习，提升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科研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教学水平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加强临床科研素质培训，将人均科研经费纳入临床科室年度综合目标考核指标，发挥国家药物/器械临床实验平台作用，建立与高等院校、研究院所、高新技术企业合作机制，提升科研成果与临床应用转化率。强化博士后进站绩效目标管理，鼓励博士、博士后承担高层次科研项目，落实重点学科科研攻关责任，不断提升科研项目的规模和质量，争取科研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项目资助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经费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达到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2500万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以上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六、重改革驱动，激活人力资源效能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推进人事薪酬制度改革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，开展医院各科室岗位定岗定编，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探索社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康中心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管理模式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增强社区卫生健康服务能力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围绕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医院发展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建设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战略与目标要求，做好人才引进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和培养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工作，引进10-15名学科带头人和骨干，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搭建科学合理的学科人才梯队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形成专科发展互相支撑、专业结构配比合理的人才队伍。以绩效考核为抓手，强化日常监督和激励，充分调动干部员工干事创业积极性。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七、积极统筹协调，加快重点建设项目进度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积极协调沟通上级主管部门，2024年上半年全面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完成医院标识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标牌更新项目。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结合新院区项目建设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进度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扎实推进新院区医学装备配置、信息化配套项目、开办费申报等重点项目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。完成东院区门诊医技楼消防及综合改造工程项目、西院区门急诊住院综合楼整体修缮改造项目的结（决）算工作。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推动新建10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家社康中心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，进一步满足市民就近就医需求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八、强化健康服务，努力提升公共卫生服务能力</w:t>
      </w:r>
    </w:p>
    <w:p>
      <w:pPr>
        <w:keepNext w:val="0"/>
        <w:keepLines w:val="0"/>
        <w:pageBreakBefore w:val="0"/>
        <w:widowControl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</w:rPr>
      </w:pPr>
      <w:r>
        <w:rPr>
          <w:rFonts w:ascii="仿宋_GB2312" w:hAnsi="仿宋_GB2312" w:eastAsia="仿宋_GB2312" w:cs="仿宋_GB2312"/>
          <w:color w:val="000000"/>
          <w:sz w:val="32"/>
        </w:rPr>
        <w:t>探索以全区居民发病率降低、医疗卫生费用降低的医防融合体系考核指标，</w:t>
      </w:r>
      <w:r>
        <w:rPr>
          <w:rFonts w:hint="eastAsia" w:ascii="仿宋_GB2312" w:hAnsi="仿宋_GB2312" w:eastAsia="仿宋_GB2312" w:cs="仿宋_GB2312"/>
          <w:color w:val="000000"/>
          <w:sz w:val="32"/>
        </w:rPr>
        <w:t>建立</w:t>
      </w:r>
      <w:r>
        <w:rPr>
          <w:rFonts w:ascii="仿宋_GB2312" w:hAnsi="仿宋_GB2312" w:eastAsia="仿宋_GB2312" w:cs="仿宋_GB2312"/>
          <w:color w:val="000000"/>
          <w:sz w:val="32"/>
        </w:rPr>
        <w:t>与疾控、街道、社区等联防联控、群策群力工作机制</w:t>
      </w:r>
      <w:r>
        <w:rPr>
          <w:rFonts w:hint="eastAsia" w:ascii="仿宋_GB2312" w:hAnsi="仿宋_GB2312" w:eastAsia="仿宋_GB2312" w:cs="仿宋_GB2312"/>
          <w:color w:val="000000"/>
          <w:sz w:val="32"/>
        </w:rPr>
        <w:t>。织密应急急救网络，</w:t>
      </w:r>
      <w:r>
        <w:rPr>
          <w:rFonts w:ascii="仿宋_GB2312" w:hAnsi="仿宋_GB2312" w:eastAsia="仿宋_GB2312" w:cs="仿宋_GB2312"/>
          <w:color w:val="000000"/>
          <w:sz w:val="32"/>
        </w:rPr>
        <w:t>深化分级诊疗制度落实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</w:t>
      </w:r>
      <w:r>
        <w:rPr>
          <w:rFonts w:ascii="仿宋_GB2312" w:hAnsi="仿宋_GB2312" w:eastAsia="仿宋_GB2312" w:cs="仿宋_GB2312"/>
          <w:color w:val="000000"/>
          <w:sz w:val="32"/>
        </w:rPr>
        <w:t>形成可持续的便民急慢分治格局</w:t>
      </w:r>
      <w:r>
        <w:rPr>
          <w:rFonts w:hint="eastAsia" w:ascii="仿宋_GB2312" w:hAnsi="仿宋_GB2312" w:eastAsia="仿宋_GB2312" w:cs="仿宋_GB2312"/>
          <w:color w:val="000000"/>
          <w:sz w:val="32"/>
        </w:rPr>
        <w:t>，</w:t>
      </w:r>
      <w:r>
        <w:rPr>
          <w:rFonts w:ascii="仿宋_GB2312" w:hAnsi="仿宋_GB2312" w:eastAsia="仿宋_GB2312" w:cs="仿宋_GB2312"/>
          <w:color w:val="000000"/>
          <w:sz w:val="32"/>
        </w:rPr>
        <w:t>提高基层社康中心首诊率</w:t>
      </w:r>
      <w:r>
        <w:rPr>
          <w:rFonts w:hint="eastAsia" w:ascii="仿宋_GB2312" w:hAnsi="仿宋_GB2312" w:eastAsia="仿宋_GB2312" w:cs="仿宋_GB2312"/>
          <w:color w:val="000000"/>
          <w:sz w:val="32"/>
        </w:rPr>
        <w:t>。积极培育老人健康关爱、营养改善行动等试点特色项目，做实家庭医生签约服务，深化智慧病床服务，以基</w:t>
      </w:r>
      <w:r>
        <w:rPr>
          <w:rFonts w:ascii="仿宋_GB2312" w:hAnsi="仿宋_GB2312" w:eastAsia="仿宋_GB2312" w:cs="仿宋_GB2312"/>
          <w:color w:val="000000"/>
          <w:sz w:val="32"/>
        </w:rPr>
        <w:t>层卫生岗位练兵</w:t>
      </w:r>
      <w:r>
        <w:rPr>
          <w:rFonts w:hint="eastAsia" w:ascii="仿宋_GB2312" w:hAnsi="仿宋_GB2312" w:eastAsia="仿宋_GB2312" w:cs="仿宋_GB2312"/>
          <w:color w:val="000000"/>
          <w:sz w:val="32"/>
        </w:rPr>
        <w:t>、</w:t>
      </w:r>
      <w:r>
        <w:rPr>
          <w:rFonts w:ascii="仿宋_GB2312" w:hAnsi="仿宋_GB2312" w:eastAsia="仿宋_GB2312" w:cs="仿宋_GB2312"/>
          <w:color w:val="000000"/>
          <w:sz w:val="32"/>
        </w:rPr>
        <w:t>技能竞赛</w:t>
      </w:r>
      <w:r>
        <w:rPr>
          <w:rFonts w:hint="eastAsia" w:ascii="仿宋_GB2312" w:hAnsi="仿宋_GB2312" w:eastAsia="仿宋_GB2312" w:cs="仿宋_GB2312"/>
          <w:color w:val="000000"/>
          <w:sz w:val="32"/>
        </w:rPr>
        <w:t>、</w:t>
      </w:r>
      <w:r>
        <w:rPr>
          <w:rFonts w:ascii="仿宋_GB2312" w:hAnsi="仿宋_GB2312" w:eastAsia="仿宋_GB2312" w:cs="仿宋_GB2312"/>
          <w:color w:val="000000"/>
          <w:sz w:val="32"/>
        </w:rPr>
        <w:t>亚专长培训</w:t>
      </w:r>
      <w:r>
        <w:rPr>
          <w:rFonts w:hint="eastAsia" w:ascii="仿宋_GB2312" w:hAnsi="仿宋_GB2312" w:eastAsia="仿宋_GB2312" w:cs="仿宋_GB2312"/>
          <w:color w:val="000000"/>
          <w:sz w:val="32"/>
        </w:rPr>
        <w:t>为抓手，不断提升社区卫生人员技能素质，坚持在“精、细、实”上显真章，着力为人民群众提供</w:t>
      </w:r>
      <w:r>
        <w:rPr>
          <w:rFonts w:ascii="仿宋_GB2312" w:hAnsi="仿宋_GB2312" w:eastAsia="仿宋_GB2312" w:cs="仿宋_GB2312"/>
          <w:color w:val="000000"/>
          <w:sz w:val="32"/>
        </w:rPr>
        <w:t>公平可及、质优便捷、舒适安全的基本公共卫生服务</w:t>
      </w:r>
      <w:r>
        <w:rPr>
          <w:rFonts w:hint="eastAsia" w:ascii="仿宋_GB2312" w:hAnsi="仿宋_GB2312" w:eastAsia="仿宋_GB2312" w:cs="仿宋_GB2312"/>
          <w:color w:val="000000"/>
          <w:sz w:val="32"/>
        </w:rPr>
        <w:t>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九、履行主体责任，把党风廉政建设抓牢做实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坚持党委领导下的院长负责制，严格按照《章程》和《议事规则》办事，重大疑难事项用好会前论证机制，提升科学决策、民主监督的质量和水平，同时做到三个不间断。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做到理论学习不间断。严格落实“第一议题”制度，持续巩固深化主题教育成果，将学习调研成果转化为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抓党建促业务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的各项工作举措，形成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提质增效常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态化工作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机制。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干部队伍建设不间断。努力培养一支政治素质好、管理能力强的干部队伍，以先进高效的管理，为医院可持续发展提供有力支撑。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正风肃纪不间断。进一步压实筑牢全院党员干部职工廉洁从政意识，坚定不移把党风廉政建设和行风作风建设工作向纵深推进。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 w:bidi="ar"/>
        </w:rPr>
        <w:t>十、强化阵地建设，打造“党建+”服务品牌</w:t>
      </w:r>
    </w:p>
    <w:p>
      <w:pPr>
        <w:keepNext w:val="0"/>
        <w:keepLines w:val="0"/>
        <w:pageBreakBefore w:val="0"/>
        <w:pBdr>
          <w:bottom w:val="single" w:color="FFFFFF" w:sz="4" w:space="31"/>
        </w:pBd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000000"/>
          <w:sz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坚持党建与业务“两个融合”，以公益活动、志愿服务为载体，推动发展、服务群众。深入探索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</w:rPr>
        <w:t>叙事医学在临床实践中的应用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，进一步推动医院医学人文的发展。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lang w:eastAsia="zh-Hans"/>
        </w:rPr>
        <w:t>完善“医心为民”书记工作室管理，为全院党支部书记和后备人才提供菜单式培训课程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11"/>
          <w:sz w:val="32"/>
          <w:szCs w:val="32"/>
          <w:lang w:eastAsia="zh-Hans"/>
        </w:rPr>
        <w:t>加强党支部之间交流分享</w:t>
      </w:r>
      <w:r>
        <w:rPr>
          <w:rFonts w:ascii="仿宋_GB2312" w:hAnsi="仿宋_GB2312" w:eastAsia="仿宋_GB2312" w:cs="仿宋_GB2312"/>
          <w:color w:val="000000"/>
          <w:spacing w:val="11"/>
          <w:sz w:val="32"/>
          <w:szCs w:val="32"/>
          <w:lang w:eastAsia="zh-Hans"/>
        </w:rPr>
        <w:t>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Hans"/>
        </w:rPr>
        <w:t>组织党支部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Hans"/>
        </w:rPr>
        <w:t>走出去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Hans"/>
        </w:rPr>
        <w:t>，拓宽党建工作思路。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同时加强通讯员队伍建设，以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Hans"/>
        </w:rPr>
        <w:t>光明先锋、光明信息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等主流媒体为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Hans"/>
        </w:rPr>
        <w:t>平台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，积极参加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各级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Hans"/>
        </w:rPr>
        <w:t>各类党建创新案例评比活动，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进一步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Hans"/>
        </w:rPr>
        <w:t>提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</w:rPr>
        <w:t>升我院“党建+”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/>
        </w:rPr>
        <w:t>服务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eastAsia="zh-Hans"/>
        </w:rPr>
        <w:t>品牌影响力。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ZjI4NmJkMGQ0ZWFhMDc0NmJlODcwZmIzZDk0NTQifQ=="/>
  </w:docVars>
  <w:rsids>
    <w:rsidRoot w:val="79B63BC7"/>
    <w:rsid w:val="01241BFF"/>
    <w:rsid w:val="11444DA7"/>
    <w:rsid w:val="305E2730"/>
    <w:rsid w:val="37DA551C"/>
    <w:rsid w:val="3B583B73"/>
    <w:rsid w:val="4EB2715D"/>
    <w:rsid w:val="51457EE2"/>
    <w:rsid w:val="79B6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567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2024-01-30T00:11:00Z</dcterms:created>
  <dc:creator>赵伟红</dc:creator>
  <cp:lastModifiedBy>纯白の骑士王</cp:lastModifiedBy>
  <dcterms:modified xsi:type="dcterms:W3CDTF">2024-04-18T01:07:42Z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6B05952E3AA54F20BD3D755B5107718A_13</vt:lpwstr>
  </property>
</Properties>
</file>