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u w:val="none"/>
        </w:rPr>
      </w:pPr>
      <w:r>
        <w:rPr>
          <w:rFonts w:hint="eastAsia" w:ascii="宋体" w:hAnsi="宋体"/>
          <w:b/>
          <w:sz w:val="36"/>
          <w:szCs w:val="36"/>
          <w:lang w:val="en-US" w:eastAsia="zh-CN"/>
        </w:rPr>
        <w:t xml:space="preserve">           </w:t>
      </w:r>
      <w:r>
        <w:rPr>
          <w:rFonts w:hint="eastAsia" w:ascii="宋体" w:hAnsi="宋体"/>
          <w:b/>
          <w:sz w:val="36"/>
          <w:szCs w:val="36"/>
        </w:rPr>
        <w:t>项目名称：</w:t>
      </w:r>
      <w:r>
        <w:rPr>
          <w:rFonts w:hint="eastAsia" w:ascii="宋体" w:hAnsi="宋体" w:eastAsia="宋体" w:cs="宋体"/>
          <w:b/>
          <w:bCs/>
          <w:sz w:val="36"/>
          <w:szCs w:val="36"/>
          <w:lang w:eastAsia="zh-CN"/>
        </w:rPr>
        <w:t>安全用药智能辅助决策系统运维服务</w:t>
      </w:r>
    </w:p>
    <w:p>
      <w:pPr>
        <w:spacing w:line="560" w:lineRule="exact"/>
        <w:ind w:firstLine="2168" w:firstLineChars="600"/>
        <w:jc w:val="both"/>
        <w:rPr>
          <w:rFonts w:hint="default" w:ascii="宋体" w:hAnsi="宋体"/>
          <w:b/>
          <w:bCs w:val="0"/>
          <w:sz w:val="36"/>
          <w:szCs w:val="36"/>
          <w:lang w:val="en-US"/>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23</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582" w:type="pct"/>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020" w:type="pct"/>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项目编号</w:t>
            </w:r>
          </w:p>
        </w:tc>
        <w:tc>
          <w:tcPr>
            <w:tcW w:w="2436" w:type="pct"/>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项目名称</w:t>
            </w:r>
          </w:p>
        </w:tc>
        <w:tc>
          <w:tcPr>
            <w:tcW w:w="961" w:type="pct"/>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020"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FWJJ-2024-0</w:t>
            </w:r>
            <w:r>
              <w:rPr>
                <w:rFonts w:hint="eastAsia" w:ascii="宋体" w:hAnsi="宋体" w:eastAsia="宋体" w:cs="宋体"/>
                <w:b w:val="0"/>
                <w:bCs/>
                <w:sz w:val="21"/>
                <w:szCs w:val="21"/>
                <w:lang w:val="en-US" w:eastAsia="zh-CN"/>
              </w:rPr>
              <w:t>23</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eastAsia="zh-CN"/>
              </w:rPr>
              <w:t>安全用药智能辅助决策系统运维服务</w:t>
            </w:r>
          </w:p>
        </w:tc>
        <w:tc>
          <w:tcPr>
            <w:tcW w:w="961"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75830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25</w:t>
      </w:r>
      <w:r>
        <w:rPr>
          <w:rFonts w:hint="eastAsia" w:ascii="仿宋_GB2312" w:hAnsi="宋体" w:eastAsia="仿宋_GB2312" w:cs="宋体"/>
          <w:sz w:val="24"/>
        </w:rPr>
        <w:t>日（周</w:t>
      </w:r>
      <w:r>
        <w:rPr>
          <w:rFonts w:hint="eastAsia" w:ascii="仿宋_GB2312" w:hAnsi="宋体" w:eastAsia="仿宋_GB2312" w:cs="宋体"/>
          <w:sz w:val="24"/>
          <w:lang w:val="en-US" w:eastAsia="zh-CN"/>
        </w:rPr>
        <w:t>二</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26</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17" w:type="dxa"/>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项目概况</w:t>
            </w:r>
          </w:p>
        </w:tc>
        <w:tc>
          <w:tcPr>
            <w:tcW w:w="6395"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医院在用系统：安全用药智能辅助决策系统，现有运维服务将于2024年5月31日到期，信息服务部接药学部运维需求，拟采购该系统运维长期服务，一年一签，最长不超三年。</w:t>
            </w:r>
          </w:p>
          <w:p>
            <w:pPr>
              <w:bidi w:val="0"/>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17" w:type="dxa"/>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服务范围</w:t>
            </w:r>
          </w:p>
        </w:tc>
        <w:tc>
          <w:tcPr>
            <w:tcW w:w="6395"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医院在用系统安全用药智能辅助决策系统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17" w:type="dxa"/>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服务内容</w:t>
            </w:r>
          </w:p>
        </w:tc>
        <w:tc>
          <w:tcPr>
            <w:tcW w:w="6395" w:type="dxa"/>
            <w:vAlign w:val="center"/>
          </w:tcPr>
          <w:p>
            <w:pPr>
              <w:numPr>
                <w:ilvl w:val="1"/>
                <w:numId w:val="2"/>
              </w:numPr>
              <w:bidi w:val="0"/>
              <w:rPr>
                <w:rFonts w:hint="eastAsia" w:ascii="宋体" w:hAnsi="宋体" w:eastAsia="宋体" w:cs="宋体"/>
              </w:rPr>
            </w:pPr>
            <w:r>
              <w:rPr>
                <w:rFonts w:hint="eastAsia" w:ascii="宋体" w:hAnsi="宋体" w:eastAsia="宋体" w:cs="宋体"/>
              </w:rPr>
              <w:t xml:space="preserve">医院现有运行系统名称: 安全用药智能辅助决策系统   </w:t>
            </w:r>
          </w:p>
          <w:p>
            <w:pPr>
              <w:numPr>
                <w:ilvl w:val="1"/>
                <w:numId w:val="2"/>
              </w:numPr>
              <w:bidi w:val="0"/>
              <w:rPr>
                <w:rFonts w:hint="eastAsia" w:ascii="宋体" w:hAnsi="宋体" w:eastAsia="宋体" w:cs="宋体"/>
              </w:rPr>
            </w:pPr>
            <w:r>
              <w:rPr>
                <w:rFonts w:hint="eastAsia" w:ascii="宋体" w:hAnsi="宋体" w:eastAsia="宋体" w:cs="宋体"/>
              </w:rPr>
              <w:t>软件技术维护服务包括:</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每月巡查，每季度出具服务器及系统运行状态报告。</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因用户操作系统和主机、打印机等计算机设备变更带来的环境适配调整工作;</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因用户非正常操作带来的软件调整和数据修正工作;</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因用户机器感染病毒带来的清理病毒、修复数据.环境重新调整;</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因计算机网络故障带来的软件重新安装、数据修复;</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合同期内甲方院内系统需对接【安全用药智能辅助决策系统】系统的，乙方需提供免费接口服务。</w:t>
            </w:r>
          </w:p>
          <w:p>
            <w:pPr>
              <w:numPr>
                <w:ilvl w:val="1"/>
                <w:numId w:val="2"/>
              </w:numPr>
              <w:bidi w:val="0"/>
              <w:rPr>
                <w:rFonts w:hint="eastAsia" w:ascii="宋体" w:hAnsi="宋体" w:eastAsia="宋体" w:cs="宋体"/>
              </w:rPr>
            </w:pPr>
            <w:r>
              <w:rPr>
                <w:rFonts w:hint="eastAsia" w:ascii="宋体" w:hAnsi="宋体" w:eastAsia="宋体" w:cs="宋体"/>
                <w:lang w:val="en-US" w:eastAsia="zh-CN"/>
              </w:rPr>
              <w:t>软件更新升级服务。</w:t>
            </w:r>
          </w:p>
          <w:p>
            <w:pPr>
              <w:numPr>
                <w:ilvl w:val="1"/>
                <w:numId w:val="2"/>
              </w:numPr>
              <w:bidi w:val="0"/>
              <w:rPr>
                <w:rFonts w:hint="eastAsia" w:ascii="宋体" w:hAnsi="宋体" w:eastAsia="宋体" w:cs="宋体"/>
              </w:rPr>
            </w:pPr>
            <w:r>
              <w:rPr>
                <w:rFonts w:hint="eastAsia" w:ascii="宋体" w:hAnsi="宋体" w:eastAsia="宋体" w:cs="宋体"/>
                <w:lang w:val="en-US" w:eastAsia="zh-CN"/>
              </w:rPr>
              <w:t>对甲方人员进行软件业务培训。</w:t>
            </w:r>
          </w:p>
          <w:p>
            <w:pPr>
              <w:numPr>
                <w:ilvl w:val="1"/>
                <w:numId w:val="2"/>
              </w:numPr>
              <w:bidi w:val="0"/>
              <w:rPr>
                <w:rFonts w:hint="eastAsia" w:ascii="宋体" w:hAnsi="宋体" w:eastAsia="宋体" w:cs="宋体"/>
              </w:rPr>
            </w:pPr>
          </w:p>
          <w:p>
            <w:pPr>
              <w:numPr>
                <w:ilvl w:val="1"/>
                <w:numId w:val="2"/>
              </w:numPr>
              <w:bidi w:val="0"/>
              <w:rPr>
                <w:rFonts w:hint="eastAsia" w:ascii="宋体" w:hAnsi="宋体" w:eastAsia="宋体" w:cs="宋体"/>
              </w:rPr>
            </w:pPr>
            <w:r>
              <w:rPr>
                <w:rFonts w:hint="eastAsia" w:ascii="宋体" w:hAnsi="宋体" w:eastAsia="宋体" w:cs="宋体"/>
              </w:rPr>
              <w:t>乙方为甲方提供两次的PASS V4.2、PASS PharmAssist V3.0、PASS PharmReview V1.1数据维护服务。</w:t>
            </w:r>
          </w:p>
          <w:p>
            <w:pPr>
              <w:numPr>
                <w:ilvl w:val="1"/>
                <w:numId w:val="2"/>
              </w:numPr>
              <w:bidi w:val="0"/>
              <w:rPr>
                <w:rFonts w:hint="eastAsia" w:ascii="宋体" w:hAnsi="宋体" w:eastAsia="宋体" w:cs="宋体"/>
              </w:rPr>
            </w:pPr>
            <w:r>
              <w:rPr>
                <w:rFonts w:hint="eastAsia" w:ascii="宋体" w:hAnsi="宋体" w:eastAsia="宋体" w:cs="宋体"/>
              </w:rPr>
              <w:t>乙方为甲方提供十次MCDEX NET V3.1的数据升级服务。</w:t>
            </w:r>
          </w:p>
          <w:p>
            <w:pPr>
              <w:numPr>
                <w:ilvl w:val="1"/>
                <w:numId w:val="2"/>
              </w:numPr>
              <w:bidi w:val="0"/>
              <w:rPr>
                <w:rFonts w:hint="eastAsia" w:ascii="宋体" w:hAnsi="宋体" w:eastAsia="宋体" w:cs="宋体"/>
              </w:rPr>
            </w:pPr>
            <w:r>
              <w:rPr>
                <w:rFonts w:hint="eastAsia" w:ascii="宋体" w:hAnsi="宋体" w:eastAsia="宋体" w:cs="宋体"/>
              </w:rPr>
              <w:t>若甲方在PASS V4.2、 PASS PharmAssist V3.0、PASS PharmReview V1.1</w:t>
            </w:r>
            <w:r>
              <w:rPr>
                <w:rFonts w:hint="eastAsia" w:ascii="宋体" w:hAnsi="宋体" w:eastAsia="宋体" w:cs="宋体"/>
                <w:lang w:eastAsia="zh-CN"/>
              </w:rPr>
              <w:t>、MCDEX NET V3.1</w:t>
            </w:r>
            <w:r>
              <w:rPr>
                <w:rFonts w:hint="eastAsia" w:ascii="宋体" w:hAnsi="宋体" w:eastAsia="宋体" w:cs="宋体"/>
              </w:rPr>
              <w:t>使用过程中遇到问题，乙方将通过远程操作、电话或电子邮件的方式为甲方提供技术服务。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1417" w:type="dxa"/>
            <w:vAlign w:val="center"/>
          </w:tcPr>
          <w:p>
            <w:pPr>
              <w:jc w:val="center"/>
              <w:rPr>
                <w:rFonts w:hint="eastAsia" w:ascii="宋体" w:hAnsi="宋体" w:eastAsia="宋体" w:cs="宋体"/>
                <w:b/>
                <w:sz w:val="21"/>
                <w:szCs w:val="21"/>
              </w:rPr>
            </w:pPr>
            <w:r>
              <w:rPr>
                <w:rFonts w:hint="eastAsia" w:ascii="宋体" w:hAnsi="宋体" w:cs="宋体"/>
                <w:b/>
                <w:bCs/>
                <w:kern w:val="0"/>
                <w:szCs w:val="21"/>
              </w:rPr>
              <w:t>供应商资格要求</w:t>
            </w:r>
          </w:p>
        </w:tc>
        <w:tc>
          <w:tcPr>
            <w:tcW w:w="6395" w:type="dxa"/>
            <w:vAlign w:val="top"/>
          </w:tcPr>
          <w:p>
            <w:pPr>
              <w:bidi w:val="0"/>
              <w:rPr>
                <w:rFonts w:hint="eastAsia" w:ascii="宋体" w:hAnsi="宋体" w:eastAsia="宋体" w:cs="宋体"/>
              </w:rPr>
            </w:pPr>
            <w:r>
              <w:rPr>
                <w:rFonts w:hint="eastAsia" w:ascii="宋体" w:hAnsi="宋体" w:eastAsia="宋体" w:cs="宋体"/>
              </w:rPr>
              <w:t>参与投标公司的经营许可范围包含计算机软件、信息系统软件的开发、运行维护,或参与投标公司具有</w:t>
            </w:r>
            <w:r>
              <w:rPr>
                <w:rFonts w:hint="eastAsia" w:ascii="宋体" w:hAnsi="宋体" w:eastAsia="宋体" w:cs="宋体"/>
                <w:lang w:eastAsia="zh-CN"/>
              </w:rPr>
              <w:t>《</w:t>
            </w:r>
            <w:r>
              <w:rPr>
                <w:rFonts w:hint="eastAsia" w:ascii="宋体" w:hAnsi="宋体" w:eastAsia="宋体" w:cs="宋体"/>
                <w:lang w:val="en-US" w:eastAsia="zh-CN"/>
              </w:rPr>
              <w:t>计算机软件著作权登记证书：合同用药检测系统</w:t>
            </w:r>
            <w:r>
              <w:rPr>
                <w:rFonts w:hint="eastAsia" w:ascii="宋体" w:hAnsi="宋体" w:eastAsia="宋体" w:cs="宋体"/>
                <w:lang w:eastAsia="zh-CN"/>
              </w:rPr>
              <w:t>》（</w:t>
            </w:r>
            <w:r>
              <w:rPr>
                <w:rFonts w:hint="eastAsia" w:ascii="宋体" w:hAnsi="宋体" w:eastAsia="宋体" w:cs="宋体"/>
                <w:lang w:val="en-US" w:eastAsia="zh-CN"/>
              </w:rPr>
              <w:t>编号2022SR0896656</w:t>
            </w:r>
            <w:r>
              <w:rPr>
                <w:rFonts w:hint="eastAsia" w:ascii="宋体" w:hAnsi="宋体" w:eastAsia="宋体" w:cs="宋体"/>
                <w:lang w:eastAsia="zh-CN"/>
              </w:rPr>
              <w:t>）</w:t>
            </w:r>
            <w:r>
              <w:rPr>
                <w:rFonts w:hint="eastAsia" w:ascii="宋体" w:hAnsi="宋体" w:eastAsia="宋体" w:cs="宋体"/>
                <w:lang w:val="en-US" w:eastAsia="zh-CN"/>
              </w:rPr>
              <w:t>或著作权人授权运维系统</w:t>
            </w:r>
            <w:r>
              <w:rPr>
                <w:rFonts w:hint="eastAsia" w:ascii="宋体" w:hAnsi="宋体" w:eastAsia="宋体" w:cs="宋体"/>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1417" w:type="dxa"/>
            <w:vAlign w:val="center"/>
          </w:tcPr>
          <w:p>
            <w:pPr>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人员要求</w:t>
            </w:r>
          </w:p>
        </w:tc>
        <w:tc>
          <w:tcPr>
            <w:tcW w:w="6395" w:type="dxa"/>
            <w:vAlign w:val="top"/>
          </w:tcPr>
          <w:p>
            <w:pPr>
              <w:bidi w:val="0"/>
              <w:rPr>
                <w:rFonts w:hint="default" w:ascii="宋体" w:hAnsi="宋体" w:eastAsia="宋体" w:cs="宋体"/>
                <w:lang w:val="en-US" w:eastAsia="zh-CN"/>
              </w:rPr>
            </w:pPr>
            <w:r>
              <w:rPr>
                <w:rFonts w:hint="eastAsia" w:ascii="宋体" w:hAnsi="宋体" w:cs="宋体"/>
                <w:lang w:val="en-US" w:eastAsia="zh-CN"/>
              </w:rPr>
              <w:t>要求1人具备安全用药智能辅助决策系统运维工作经验</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pPr>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1417" w:type="dxa"/>
            <w:vAlign w:val="center"/>
          </w:tcPr>
          <w:p>
            <w:pPr>
              <w:jc w:val="center"/>
              <w:rPr>
                <w:rFonts w:hint="eastAsia" w:ascii="宋体" w:hAnsi="宋体" w:eastAsia="宋体" w:cs="宋体"/>
                <w:b/>
                <w:sz w:val="21"/>
                <w:szCs w:val="21"/>
              </w:rPr>
            </w:pPr>
            <w:r>
              <w:rPr>
                <w:rFonts w:hint="eastAsia" w:ascii="宋体" w:hAnsi="宋体" w:eastAsia="宋体" w:cs="宋体"/>
                <w:b/>
                <w:kern w:val="0"/>
                <w:sz w:val="21"/>
                <w:szCs w:val="21"/>
              </w:rPr>
              <w:t>成果要求</w:t>
            </w:r>
          </w:p>
        </w:tc>
        <w:tc>
          <w:tcPr>
            <w:tcW w:w="6395" w:type="dxa"/>
            <w:vAlign w:val="center"/>
          </w:tcPr>
          <w:p>
            <w:pPr>
              <w:bidi w:val="0"/>
              <w:rPr>
                <w:rFonts w:hint="eastAsia" w:ascii="宋体" w:hAnsi="宋体" w:eastAsia="宋体" w:cs="宋体"/>
                <w:lang w:val="en-US"/>
              </w:rPr>
            </w:pPr>
            <w:r>
              <w:rPr>
                <w:rFonts w:hint="eastAsia" w:ascii="宋体" w:hAnsi="宋体" w:eastAsia="宋体" w:cs="宋体"/>
                <w:lang w:val="en-US" w:eastAsia="zh-CN"/>
              </w:rPr>
              <w:t>服务器及系统运行状态季度报告、运维记录单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1417" w:type="dxa"/>
            <w:vAlign w:val="center"/>
          </w:tcPr>
          <w:p>
            <w:pPr>
              <w:jc w:val="center"/>
              <w:rPr>
                <w:rFonts w:hint="eastAsia" w:ascii="宋体" w:hAnsi="宋体" w:eastAsia="宋体" w:cs="宋体"/>
                <w:b/>
                <w:sz w:val="21"/>
                <w:szCs w:val="21"/>
              </w:rPr>
            </w:pPr>
            <w:r>
              <w:rPr>
                <w:rFonts w:hint="eastAsia" w:ascii="宋体" w:hAnsi="宋体" w:eastAsia="宋体" w:cs="宋体"/>
                <w:b/>
                <w:kern w:val="0"/>
                <w:sz w:val="21"/>
                <w:szCs w:val="21"/>
              </w:rPr>
              <w:t>其他要求</w:t>
            </w:r>
          </w:p>
        </w:tc>
        <w:tc>
          <w:tcPr>
            <w:tcW w:w="6395" w:type="dxa"/>
            <w:vAlign w:val="center"/>
          </w:tcPr>
          <w:p>
            <w:pPr>
              <w:pStyle w:val="2"/>
              <w:rPr>
                <w:sz w:val="21"/>
                <w:szCs w:val="21"/>
              </w:rPr>
            </w:pPr>
            <w:r>
              <w:rPr>
                <w:rFonts w:hint="eastAsia"/>
                <w:sz w:val="21"/>
                <w:szCs w:val="21"/>
                <w:lang w:val="en-US" w:eastAsia="zh-CN"/>
              </w:rPr>
              <w:t>一、</w:t>
            </w:r>
            <w:r>
              <w:rPr>
                <w:rFonts w:hint="eastAsia"/>
                <w:sz w:val="21"/>
                <w:szCs w:val="21"/>
              </w:rPr>
              <w:t>保密协议</w:t>
            </w:r>
          </w:p>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bookmarkStart w:id="0" w:name="_Hlk71881491"/>
            <w:r>
              <w:rPr>
                <w:rFonts w:hint="eastAsia" w:asciiTheme="majorEastAsia" w:hAnsiTheme="majorEastAsia" w:eastAsiaTheme="majorEastAsia" w:cstheme="majorEastAsia"/>
                <w:kern w:val="0"/>
                <w:sz w:val="21"/>
                <w:szCs w:val="21"/>
                <w:lang w:bidi="ar"/>
              </w:rPr>
              <w:t>甲乙双方应互相尊重对方的知识产权和商业秘密。如最终用户对于项目保密有特别要求的，甲乙双方均应严格按照特别要求执行。</w:t>
            </w:r>
          </w:p>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乙方应对提供服务过程中获取或知悉的甲方保密信息履行严格的保密义务，非经甲方同意不得向第三方披露，并不得用于提供服务以外的其他任何目的。</w:t>
            </w:r>
          </w:p>
          <w:bookmarkEnd w:id="0"/>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乙方为甲方提供服务及交付相关服务成果并不意味着乙方向甲方转让或授权许可使用任何乙方自主拥有或已获第三方许可的知识产权；甲方应注意保护</w:t>
            </w:r>
            <w:bookmarkStart w:id="1" w:name="_Hlk71881622"/>
            <w:r>
              <w:rPr>
                <w:rFonts w:hint="eastAsia" w:asciiTheme="majorEastAsia" w:hAnsiTheme="majorEastAsia" w:eastAsiaTheme="majorEastAsia" w:cstheme="majorEastAsia"/>
                <w:kern w:val="0"/>
                <w:sz w:val="21"/>
                <w:szCs w:val="21"/>
                <w:lang w:bidi="ar"/>
              </w:rPr>
              <w:t>乙方交付的相关文档中可能包含的乙方的商业秘密或技术方案等内容</w:t>
            </w:r>
            <w:bookmarkEnd w:id="1"/>
            <w:r>
              <w:rPr>
                <w:rFonts w:hint="eastAsia" w:asciiTheme="majorEastAsia" w:hAnsiTheme="majorEastAsia" w:eastAsiaTheme="majorEastAsia" w:cstheme="majorEastAsia"/>
                <w:kern w:val="0"/>
                <w:sz w:val="21"/>
                <w:szCs w:val="21"/>
                <w:lang w:bidi="ar"/>
              </w:rPr>
              <w:t>，</w:t>
            </w:r>
            <w:bookmarkStart w:id="2" w:name="_Hlk71881604"/>
            <w:r>
              <w:rPr>
                <w:rFonts w:hint="eastAsia" w:asciiTheme="majorEastAsia" w:hAnsiTheme="majorEastAsia" w:eastAsiaTheme="majorEastAsia" w:cstheme="majorEastAsia"/>
                <w:kern w:val="0"/>
                <w:sz w:val="21"/>
                <w:szCs w:val="21"/>
                <w:lang w:bidi="ar"/>
              </w:rPr>
              <w:t>未经乙方同意不应向其他任何第三方披露</w:t>
            </w:r>
            <w:bookmarkEnd w:id="2"/>
            <w:r>
              <w:rPr>
                <w:rFonts w:hint="eastAsia" w:asciiTheme="majorEastAsia" w:hAnsiTheme="majorEastAsia" w:eastAsiaTheme="majorEastAsia" w:cstheme="majorEastAsia"/>
                <w:kern w:val="0"/>
                <w:sz w:val="21"/>
                <w:szCs w:val="21"/>
                <w:lang w:bidi="ar"/>
              </w:rPr>
              <w:t>。</w:t>
            </w:r>
          </w:p>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bookmarkStart w:id="3" w:name="_Hlk71881724"/>
            <w:r>
              <w:rPr>
                <w:rFonts w:hint="eastAsia" w:asciiTheme="majorEastAsia" w:hAnsiTheme="majorEastAsia" w:eastAsiaTheme="majorEastAsia" w:cstheme="majorEastAsia"/>
                <w:kern w:val="0"/>
                <w:sz w:val="21"/>
                <w:szCs w:val="21"/>
                <w:lang w:bidi="ar"/>
              </w:rPr>
              <w:t>一方可仅为本合同目的向其确有知悉必要的雇员披露对方提供的保密资料，但同时须指示其雇员遵守本条规定的保密义务。一方因法律法规的强制性规定或政策要求须披露相关信息的，应尽可能提前通知披露方，使其得以采取其认为必要的保护措施。</w:t>
            </w:r>
          </w:p>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本合同所述应予以保密的信息不包含属于以下情形的内容：</w:t>
            </w:r>
          </w:p>
          <w:p>
            <w:pPr>
              <w:widowControl/>
              <w:numPr>
                <w:ilvl w:val="2"/>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并非因接收方的过错而已经进入公有领域的；</w:t>
            </w:r>
          </w:p>
          <w:p>
            <w:pPr>
              <w:widowControl/>
              <w:numPr>
                <w:ilvl w:val="2"/>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已通过接收方的有关记录证明是由其独立开发的；</w:t>
            </w:r>
          </w:p>
          <w:p>
            <w:pPr>
              <w:widowControl/>
              <w:numPr>
                <w:ilvl w:val="2"/>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由接收方从没有违反对披露方的保密义务的一方取得的。</w:t>
            </w:r>
          </w:p>
          <w:bookmarkEnd w:id="3"/>
          <w:p>
            <w:pPr>
              <w:pStyle w:val="2"/>
              <w:rPr>
                <w:sz w:val="21"/>
                <w:szCs w:val="21"/>
              </w:rPr>
            </w:pPr>
            <w:r>
              <w:rPr>
                <w:rFonts w:hint="eastAsia"/>
                <w:sz w:val="21"/>
                <w:szCs w:val="21"/>
                <w:lang w:val="en-US" w:eastAsia="zh-CN"/>
              </w:rPr>
              <w:t>二、</w:t>
            </w:r>
            <w:r>
              <w:rPr>
                <w:rFonts w:hint="eastAsia"/>
                <w:sz w:val="21"/>
                <w:szCs w:val="21"/>
              </w:rPr>
              <w:t>争议的解决</w:t>
            </w:r>
          </w:p>
          <w:p>
            <w:pPr>
              <w:widowControl/>
              <w:spacing w:line="360" w:lineRule="auto"/>
              <w:ind w:firstLine="367" w:firstLineChars="175"/>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协议双方应通过友好协商解决和本协议有关的一切争议。如果协商不成，甲、乙双方同意选择甲方所在地的人民法院提起诉讼。</w:t>
            </w:r>
          </w:p>
          <w:p>
            <w:pPr>
              <w:pStyle w:val="2"/>
              <w:rPr>
                <w:sz w:val="21"/>
                <w:szCs w:val="21"/>
              </w:rPr>
            </w:pPr>
            <w:r>
              <w:rPr>
                <w:rFonts w:hint="eastAsia"/>
                <w:sz w:val="21"/>
                <w:szCs w:val="21"/>
                <w:lang w:val="en-US" w:eastAsia="zh-CN"/>
              </w:rPr>
              <w:t>三、</w:t>
            </w:r>
            <w:r>
              <w:rPr>
                <w:rFonts w:hint="eastAsia"/>
                <w:sz w:val="21"/>
                <w:szCs w:val="21"/>
              </w:rPr>
              <w:t>协议的生效</w:t>
            </w:r>
          </w:p>
          <w:p>
            <w:pPr>
              <w:widowControl/>
              <w:spacing w:line="360" w:lineRule="auto"/>
              <w:ind w:firstLine="420" w:firstLineChars="200"/>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本协议经双方法定代表人或授权代表签字并加盖公章后生效。</w:t>
            </w:r>
          </w:p>
          <w:p>
            <w:pPr>
              <w:pStyle w:val="2"/>
              <w:rPr>
                <w:sz w:val="21"/>
                <w:szCs w:val="21"/>
              </w:rPr>
            </w:pPr>
            <w:r>
              <w:rPr>
                <w:rFonts w:hint="eastAsia"/>
                <w:sz w:val="21"/>
                <w:szCs w:val="21"/>
                <w:lang w:val="en-US" w:eastAsia="zh-CN"/>
              </w:rPr>
              <w:t>四、</w:t>
            </w:r>
            <w:r>
              <w:rPr>
                <w:rFonts w:hint="eastAsia"/>
                <w:sz w:val="21"/>
                <w:szCs w:val="21"/>
              </w:rPr>
              <w:t>其他约定事项</w:t>
            </w:r>
          </w:p>
          <w:p>
            <w:pPr>
              <w:widowControl/>
              <w:numPr>
                <w:ilvl w:val="1"/>
                <w:numId w:val="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一方当事人未经另一方书面同意，不得将其在合同项下的权利和义务全部或部分转让给第三人。,</w:t>
            </w:r>
          </w:p>
          <w:p>
            <w:pPr>
              <w:bidi w:val="0"/>
              <w:rPr>
                <w:rFonts w:hint="eastAsia" w:ascii="宋体" w:hAnsi="宋体" w:eastAsia="宋体" w:cs="宋体"/>
                <w:lang w:val="en-US" w:eastAsia="zh-CN"/>
              </w:rPr>
            </w:pPr>
            <w:r>
              <w:rPr>
                <w:rFonts w:hint="eastAsia" w:asciiTheme="majorEastAsia" w:hAnsiTheme="majorEastAsia" w:eastAsiaTheme="majorEastAsia" w:cstheme="majorEastAsia"/>
                <w:kern w:val="0"/>
                <w:sz w:val="21"/>
                <w:szCs w:val="21"/>
                <w:lang w:bidi="ar"/>
              </w:rPr>
              <w:t>本合同一式四份，甲方三份，乙方一份。</w:t>
            </w:r>
          </w:p>
        </w:tc>
      </w:tr>
    </w:tbl>
    <w:p>
      <w:pPr>
        <w:numPr>
          <w:ilvl w:val="0"/>
          <w:numId w:val="0"/>
        </w:numPr>
        <w:spacing w:line="560" w:lineRule="exact"/>
        <w:rPr>
          <w:rFonts w:hint="eastAsia" w:ascii="宋体" w:hAnsi="宋体" w:eastAsia="宋体" w:cs="宋体"/>
          <w:bCs/>
          <w:sz w:val="21"/>
          <w:szCs w:val="21"/>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spacing w:line="440" w:lineRule="exact"/>
              <w:outlineLvl w:val="0"/>
              <w:rPr>
                <w:rFonts w:ascii="宋体" w:hAnsi="宋体"/>
                <w:bCs/>
                <w:color w:val="auto"/>
                <w:szCs w:val="21"/>
                <w:highlight w:val="none"/>
              </w:rPr>
            </w:pPr>
            <w:r>
              <w:rPr>
                <w:rFonts w:hint="eastAsia" w:ascii="MS Mincho" w:hAnsi="MS Mincho" w:eastAsia="MS Mincho" w:cs="MS Mincho"/>
                <w:color w:val="auto"/>
                <w:szCs w:val="21"/>
                <w:highlight w:val="none"/>
              </w:rPr>
              <w:t>☑</w:t>
            </w:r>
            <w:r>
              <w:rPr>
                <w:rFonts w:hint="eastAsia" w:ascii="宋体" w:hAnsi="宋体" w:cs="宋体"/>
                <w:b/>
                <w:color w:val="auto"/>
                <w:kern w:val="0"/>
                <w:szCs w:val="21"/>
                <w:highlight w:val="none"/>
              </w:rPr>
              <w:t>标准：</w:t>
            </w:r>
            <w:r>
              <w:rPr>
                <w:rFonts w:hint="eastAsia" w:ascii="宋体" w:hAnsi="宋体"/>
                <w:bCs/>
                <w:color w:val="auto"/>
                <w:szCs w:val="21"/>
                <w:highlight w:val="none"/>
              </w:rPr>
              <w:t>投标总价（人民币）须是完成该项目的一切费用总和；</w:t>
            </w:r>
          </w:p>
          <w:p>
            <w:pPr>
              <w:spacing w:line="440" w:lineRule="exact"/>
              <w:rPr>
                <w:rFonts w:ascii="宋体" w:hAnsi="宋体"/>
                <w:bCs/>
                <w:color w:val="auto"/>
                <w:szCs w:val="21"/>
                <w:highlight w:val="none"/>
              </w:rPr>
            </w:pPr>
            <w:r>
              <w:rPr>
                <w:rFonts w:hint="eastAsia" w:ascii="宋体" w:hAnsi="宋体"/>
                <w:bCs/>
                <w:color w:val="auto"/>
                <w:szCs w:val="21"/>
                <w:highlight w:val="none"/>
              </w:rPr>
              <w:t>本项目服务费采用包干制，应包括服务成本、法定税费和企业的利润。</w:t>
            </w:r>
          </w:p>
          <w:p>
            <w:pPr>
              <w:spacing w:line="580" w:lineRule="exact"/>
              <w:rPr>
                <w:rFonts w:cs="仿宋" w:asciiTheme="minorEastAsia" w:hAnsiTheme="minorEastAsia"/>
                <w:color w:val="auto"/>
                <w:sz w:val="24"/>
                <w:szCs w:val="24"/>
                <w:highlight w:val="none"/>
              </w:rPr>
            </w:pPr>
            <w:r>
              <w:rPr>
                <w:rFonts w:hint="eastAsia" w:ascii="宋体" w:hAnsi="宋体" w:cs="宋体"/>
                <w:b/>
                <w:color w:val="auto"/>
                <w:kern w:val="0"/>
                <w:szCs w:val="21"/>
                <w:highlight w:val="none"/>
              </w:rPr>
              <w:t>□折扣率（</w:t>
            </w:r>
            <w:r>
              <w:rPr>
                <w:rFonts w:cs="仿宋" w:asciiTheme="minorEastAsia" w:hAnsiTheme="minorEastAsia"/>
                <w:color w:val="auto"/>
                <w:sz w:val="24"/>
                <w:szCs w:val="24"/>
                <w:highlight w:val="none"/>
              </w:rPr>
              <w:t>第二种方式</w:t>
            </w:r>
            <w:r>
              <w:rPr>
                <w:rFonts w:hint="eastAsia" w:ascii="宋体" w:hAnsi="宋体" w:cs="宋体"/>
                <w:b/>
                <w:color w:val="auto"/>
                <w:kern w:val="0"/>
                <w:szCs w:val="21"/>
                <w:highlight w:val="none"/>
              </w:rPr>
              <w:t>）</w:t>
            </w:r>
          </w:p>
          <w:p>
            <w:pPr>
              <w:outlineLvl w:val="0"/>
              <w:rPr>
                <w:rFonts w:ascii="宋体" w:hAnsi="宋体" w:cs="宋体"/>
                <w:b/>
                <w:color w:val="auto"/>
                <w:kern w:val="0"/>
                <w:szCs w:val="21"/>
                <w:highlight w:val="none"/>
              </w:rPr>
            </w:pPr>
            <w:r>
              <w:rPr>
                <w:rFonts w:hint="eastAsia" w:ascii="宋体" w:hAnsi="宋体" w:cs="宋体"/>
                <w:b/>
                <w:color w:val="auto"/>
                <w:kern w:val="0"/>
                <w:szCs w:val="21"/>
                <w:highlight w:val="none"/>
              </w:rPr>
              <w:t>若内容有单项限价的请按以下表格填写：</w:t>
            </w:r>
          </w:p>
          <w:tbl>
            <w:tblPr>
              <w:tblStyle w:val="26"/>
              <w:tblW w:w="6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1081"/>
              <w:gridCol w:w="432"/>
              <w:gridCol w:w="559"/>
              <w:gridCol w:w="903"/>
              <w:gridCol w:w="13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85" w:type="dxa"/>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081" w:type="dxa"/>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服务分项名称</w:t>
                  </w:r>
                </w:p>
              </w:tc>
              <w:tc>
                <w:tcPr>
                  <w:tcW w:w="432" w:type="dxa"/>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数量</w:t>
                  </w:r>
                </w:p>
              </w:tc>
              <w:tc>
                <w:tcPr>
                  <w:tcW w:w="559" w:type="dxa"/>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单位</w:t>
                  </w:r>
                </w:p>
              </w:tc>
              <w:tc>
                <w:tcPr>
                  <w:tcW w:w="903" w:type="dxa"/>
                  <w:vAlign w:val="center"/>
                </w:tcPr>
                <w:p>
                  <w:pPr>
                    <w:spacing w:line="440" w:lineRule="exact"/>
                    <w:jc w:val="center"/>
                    <w:rPr>
                      <w:rFonts w:ascii="宋体" w:hAnsi="宋体" w:cs="宋体"/>
                      <w:bCs/>
                      <w:color w:val="auto"/>
                      <w:szCs w:val="21"/>
                      <w:highlight w:val="none"/>
                    </w:rPr>
                  </w:pPr>
                  <w:r>
                    <w:rPr>
                      <w:rFonts w:ascii="宋体" w:hAnsi="宋体" w:cs="宋体"/>
                      <w:bCs/>
                      <w:color w:val="auto"/>
                      <w:szCs w:val="21"/>
                      <w:highlight w:val="none"/>
                    </w:rPr>
                    <w:t>单项</w:t>
                  </w:r>
                </w:p>
                <w:p>
                  <w:pPr>
                    <w:spacing w:line="440" w:lineRule="exact"/>
                    <w:jc w:val="center"/>
                    <w:rPr>
                      <w:rFonts w:ascii="宋体" w:hAnsi="宋体" w:cs="宋体"/>
                      <w:bCs/>
                      <w:color w:val="auto"/>
                      <w:szCs w:val="21"/>
                      <w:highlight w:val="none"/>
                    </w:rPr>
                  </w:pPr>
                  <w:r>
                    <w:rPr>
                      <w:rFonts w:ascii="宋体" w:hAnsi="宋体" w:cs="宋体"/>
                      <w:bCs/>
                      <w:color w:val="auto"/>
                      <w:szCs w:val="21"/>
                      <w:highlight w:val="none"/>
                    </w:rPr>
                    <w:t>限价</w:t>
                  </w:r>
                </w:p>
              </w:tc>
              <w:tc>
                <w:tcPr>
                  <w:tcW w:w="1385" w:type="dxa"/>
                  <w:vAlign w:val="center"/>
                </w:tcPr>
                <w:p>
                  <w:pPr>
                    <w:spacing w:line="360" w:lineRule="auto"/>
                    <w:jc w:val="center"/>
                    <w:rPr>
                      <w:rFonts w:ascii="宋体" w:hAnsi="宋体" w:cs="宋体"/>
                      <w:b w:val="0"/>
                      <w:bCs/>
                      <w:color w:val="auto"/>
                      <w:szCs w:val="21"/>
                      <w:highlight w:val="none"/>
                    </w:rPr>
                  </w:pPr>
                  <w:r>
                    <w:rPr>
                      <w:rFonts w:hint="eastAsia" w:ascii="宋体" w:hAnsi="宋体" w:cs="宋体"/>
                      <w:b w:val="0"/>
                      <w:bCs/>
                      <w:color w:val="auto"/>
                      <w:szCs w:val="21"/>
                      <w:highlight w:val="none"/>
                    </w:rPr>
                    <w:t>备注</w:t>
                  </w:r>
                </w:p>
              </w:tc>
              <w:tc>
                <w:tcPr>
                  <w:tcW w:w="1348" w:type="dxa"/>
                  <w:vAlign w:val="center"/>
                </w:tcPr>
                <w:p>
                  <w:pPr>
                    <w:spacing w:line="360" w:lineRule="auto"/>
                    <w:jc w:val="center"/>
                    <w:rPr>
                      <w:rFonts w:ascii="宋体" w:hAnsi="宋体" w:cs="宋体"/>
                      <w:b w:val="0"/>
                      <w:bCs/>
                      <w:color w:val="auto"/>
                      <w:szCs w:val="21"/>
                      <w:highlight w:val="none"/>
                    </w:rPr>
                  </w:pPr>
                  <w:r>
                    <w:rPr>
                      <w:rFonts w:hint="eastAsia" w:ascii="宋体" w:hAnsi="宋体" w:cs="宋体"/>
                      <w:b w:val="0"/>
                      <w:bCs/>
                      <w:color w:val="auto"/>
                      <w:szCs w:val="21"/>
                      <w:highlight w:val="none"/>
                    </w:rPr>
                    <w:t>投标最高限价（元）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081" w:type="dxa"/>
                  <w:vAlign w:val="center"/>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安全用药智能辅助决策</w:t>
                  </w:r>
                  <w:r>
                    <w:rPr>
                      <w:rFonts w:hint="eastAsia" w:ascii="宋体" w:hAnsi="宋体" w:cs="宋体"/>
                      <w:bCs/>
                      <w:color w:val="auto"/>
                      <w:szCs w:val="21"/>
                      <w:highlight w:val="none"/>
                      <w:lang w:val="en-US" w:eastAsia="zh-CN"/>
                    </w:rPr>
                    <w:t>系统运维服务</w:t>
                  </w:r>
                </w:p>
              </w:tc>
              <w:tc>
                <w:tcPr>
                  <w:tcW w:w="432" w:type="dxa"/>
                  <w:vAlign w:val="center"/>
                </w:tcPr>
                <w:p>
                  <w:pPr>
                    <w:spacing w:line="360" w:lineRule="auto"/>
                    <w:jc w:val="center"/>
                    <w:rPr>
                      <w:rFonts w:hint="eastAsia" w:ascii="宋体" w:hAnsi="宋体" w:cs="宋体" w:eastAsiaTheme="minorEastAsia"/>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559" w:type="dxa"/>
                  <w:vAlign w:val="center"/>
                </w:tcPr>
                <w:p>
                  <w:pPr>
                    <w:spacing w:line="360" w:lineRule="auto"/>
                    <w:jc w:val="center"/>
                    <w:rPr>
                      <w:rFonts w:hint="eastAsia" w:ascii="宋体" w:hAnsi="宋体" w:cs="宋体" w:eastAsiaTheme="minorEastAsia"/>
                      <w:bCs/>
                      <w:color w:val="auto"/>
                      <w:szCs w:val="21"/>
                      <w:highlight w:val="none"/>
                      <w:lang w:val="en-US" w:eastAsia="zh-CN"/>
                    </w:rPr>
                  </w:pPr>
                  <w:r>
                    <w:rPr>
                      <w:rFonts w:hint="eastAsia" w:ascii="宋体" w:hAnsi="宋体" w:cs="宋体"/>
                      <w:bCs/>
                      <w:color w:val="auto"/>
                      <w:szCs w:val="21"/>
                      <w:highlight w:val="none"/>
                      <w:lang w:val="en-US" w:eastAsia="zh-CN"/>
                    </w:rPr>
                    <w:t>年</w:t>
                  </w:r>
                </w:p>
              </w:tc>
              <w:tc>
                <w:tcPr>
                  <w:tcW w:w="903" w:type="dxa"/>
                  <w:vAlign w:val="center"/>
                </w:tcPr>
                <w:p>
                  <w:pPr>
                    <w:spacing w:line="360" w:lineRule="auto"/>
                    <w:jc w:val="center"/>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75,830</w:t>
                  </w:r>
                </w:p>
              </w:tc>
              <w:tc>
                <w:tcPr>
                  <w:tcW w:w="1385" w:type="dxa"/>
                  <w:vAlign w:val="center"/>
                </w:tcPr>
                <w:p>
                  <w:pPr>
                    <w:spacing w:line="360" w:lineRule="auto"/>
                    <w:jc w:val="center"/>
                    <w:rPr>
                      <w:rFonts w:hint="default" w:ascii="宋体" w:hAnsi="宋体" w:cs="宋体" w:eastAsiaTheme="minorEastAsia"/>
                      <w:b w:val="0"/>
                      <w:bCs/>
                      <w:color w:val="auto"/>
                      <w:szCs w:val="21"/>
                      <w:highlight w:val="none"/>
                      <w:lang w:val="en-US" w:eastAsia="zh-CN"/>
                    </w:rPr>
                  </w:pPr>
                  <w:r>
                    <w:rPr>
                      <w:rFonts w:hint="eastAsia" w:ascii="宋体" w:hAnsi="宋体" w:cs="宋体"/>
                      <w:b w:val="0"/>
                      <w:bCs/>
                      <w:color w:val="auto"/>
                      <w:szCs w:val="21"/>
                      <w:highlight w:val="none"/>
                      <w:lang w:val="en-US" w:eastAsia="zh-CN"/>
                    </w:rPr>
                    <w:t>包含MCDEX知识库年度续费</w:t>
                  </w:r>
                </w:p>
              </w:tc>
              <w:tc>
                <w:tcPr>
                  <w:tcW w:w="1348" w:type="dxa"/>
                  <w:vAlign w:val="center"/>
                </w:tcPr>
                <w:p>
                  <w:pPr>
                    <w:spacing w:line="360" w:lineRule="auto"/>
                    <w:jc w:val="center"/>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75,830.00</w:t>
                  </w:r>
                </w:p>
              </w:tc>
            </w:tr>
          </w:tbl>
          <w:p>
            <w:pPr>
              <w:spacing w:line="58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widowControl/>
              <w:numPr>
                <w:ilvl w:val="1"/>
                <w:numId w:val="5"/>
              </w:numPr>
              <w:spacing w:line="360" w:lineRule="auto"/>
              <w:jc w:val="left"/>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进度款：运维6个月后，乙方提供运维记录、服务器及系统运行状态报告及正规等额发票后，甲方15个工作日内支付50%；</w:t>
            </w:r>
          </w:p>
          <w:p>
            <w:pPr>
              <w:widowControl/>
              <w:numPr>
                <w:ilvl w:val="1"/>
                <w:numId w:val="5"/>
              </w:numPr>
              <w:spacing w:line="360" w:lineRule="auto"/>
              <w:jc w:val="left"/>
              <w:rPr>
                <w:rFonts w:ascii="宋体" w:hAnsi="宋体" w:cs="宋体"/>
                <w:kern w:val="0"/>
                <w:szCs w:val="21"/>
              </w:rPr>
            </w:pPr>
            <w:r>
              <w:rPr>
                <w:rFonts w:hint="eastAsia" w:asciiTheme="majorEastAsia" w:hAnsiTheme="majorEastAsia" w:eastAsiaTheme="majorEastAsia" w:cstheme="majorEastAsia"/>
                <w:kern w:val="0"/>
                <w:sz w:val="21"/>
                <w:szCs w:val="21"/>
                <w:lang w:val="en-US" w:eastAsia="zh-CN" w:bidi="ar"/>
              </w:rPr>
              <w:t>尾款：运维期满，乙方提供年度运维记录、服务器及系统运行状态报告及正规等额发票后，甲方15个工作日内支付尾款50%。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rPr>
                <w:rFonts w:hint="default" w:ascii="宋体" w:hAnsi="宋体"/>
                <w:b/>
                <w:szCs w:val="21"/>
                <w:lang w:val="en-US" w:eastAsia="zh-CN"/>
              </w:rPr>
            </w:pPr>
            <w:r>
              <w:rPr>
                <w:rFonts w:hint="eastAsia" w:ascii="宋体" w:hAnsi="宋体"/>
                <w:b w:val="0"/>
                <w:bCs/>
                <w:szCs w:val="21"/>
                <w:lang w:val="en-US" w:eastAsia="zh-CN"/>
              </w:rPr>
              <w:t>深圳市光明区人民医院现场服务，支持热线</w:t>
            </w:r>
            <w:r>
              <w:rPr>
                <w:rFonts w:hint="default" w:ascii="宋体" w:hAnsi="宋体"/>
                <w:b w:val="0"/>
                <w:bCs/>
                <w:szCs w:val="21"/>
                <w:lang w:val="en-US" w:eastAsia="zh-CN"/>
              </w:rPr>
              <w:t>远程网上服务</w:t>
            </w:r>
            <w:r>
              <w:rPr>
                <w:rFonts w:hint="eastAsia" w:ascii="宋体" w:hAnsi="宋体"/>
                <w:b w:val="0"/>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rPr>
                <w:rFonts w:hint="eastAsia" w:ascii="宋体" w:hAnsi="宋体" w:cs="宋体"/>
                <w:kern w:val="0"/>
                <w:szCs w:val="21"/>
              </w:rPr>
            </w:pPr>
            <w:r>
              <w:rPr>
                <w:rFonts w:hint="eastAsia" w:ascii="宋体" w:hAnsi="宋体" w:cs="宋体"/>
                <w:kern w:val="0"/>
                <w:szCs w:val="21"/>
              </w:rPr>
              <w:t>自合同签订之日起一年。</w:t>
            </w:r>
          </w:p>
          <w:p>
            <w:pPr>
              <w:rPr>
                <w:rFonts w:ascii="宋体" w:hAnsi="宋体"/>
                <w:b/>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售后服务要求</w:t>
            </w:r>
          </w:p>
        </w:tc>
        <w:tc>
          <w:tcPr>
            <w:tcW w:w="6395" w:type="dxa"/>
            <w:vAlign w:val="center"/>
          </w:tcPr>
          <w:p>
            <w:pPr>
              <w:widowControl/>
              <w:numPr>
                <w:ilvl w:val="1"/>
                <w:numId w:val="6"/>
              </w:numPr>
              <w:spacing w:line="360" w:lineRule="auto"/>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乙方客服工作执行服务单工作制，客服工程师根据电话记录填写《运维记录单》，并按照约定时间进行远程网上服务或现场服务。远程网上服务故障排除认定以一周内无同一原因引发故障为准，现场服务故障排除认定以客户在“运维记录单”上的签字为准。</w:t>
            </w:r>
          </w:p>
          <w:p>
            <w:pPr>
              <w:widowControl/>
              <w:numPr>
                <w:ilvl w:val="1"/>
                <w:numId w:val="6"/>
              </w:numPr>
              <w:spacing w:line="360" w:lineRule="auto"/>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乙方客服工作就各种服务方式，针对请求客服内容，分别做出以下承诺:</w:t>
            </w:r>
          </w:p>
          <w:p>
            <w:pPr>
              <w:widowControl/>
              <w:numPr>
                <w:ilvl w:val="2"/>
                <w:numId w:val="6"/>
              </w:numPr>
              <w:spacing w:line="360" w:lineRule="auto"/>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系统一般性故障(以接听电话时间为准):远程网上服务在一个工作日内完成，现场服务顺延半个工作日。</w:t>
            </w:r>
          </w:p>
          <w:p>
            <w:pPr>
              <w:widowControl/>
              <w:numPr>
                <w:ilvl w:val="2"/>
                <w:numId w:val="6"/>
              </w:numPr>
              <w:spacing w:line="360" w:lineRule="auto"/>
              <w:jc w:val="left"/>
              <w:rPr>
                <w:rFonts w:ascii="宋体" w:hAnsi="宋体"/>
                <w:b/>
                <w:szCs w:val="21"/>
              </w:rPr>
            </w:pPr>
            <w:r>
              <w:rPr>
                <w:rFonts w:hint="eastAsia" w:ascii="宋体" w:hAnsi="宋体" w:eastAsia="宋体" w:cs="宋体"/>
                <w:kern w:val="0"/>
                <w:sz w:val="21"/>
                <w:szCs w:val="21"/>
                <w:lang w:bidi="ar"/>
              </w:rPr>
              <w:t>系统严重故障(以接听电话时间为准):立即开始远程网上维护服务，并在两小时内到达现场，提出解决方案并及时实施。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widowControl/>
              <w:numPr>
                <w:ilvl w:val="0"/>
                <w:numId w:val="7"/>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甲方责任:</w:t>
            </w:r>
          </w:p>
          <w:p>
            <w:pPr>
              <w:widowControl/>
              <w:numPr>
                <w:ilvl w:val="1"/>
                <w:numId w:val="8"/>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约定提供工作条件或未按约定完成配合事项，或者提供工作条件、完成配合事项不符合合同约定的，影响服务进度和质量，甲方应承担一切责任。</w:t>
            </w:r>
          </w:p>
          <w:p>
            <w:pPr>
              <w:widowControl/>
              <w:numPr>
                <w:ilvl w:val="1"/>
                <w:numId w:val="8"/>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val="en-US" w:eastAsia="zh-CN" w:bidi="ar"/>
              </w:rPr>
              <w:t>无正当理由（如财政资金拨款未到位、不可抗力因素等）</w:t>
            </w:r>
            <w:r>
              <w:rPr>
                <w:rFonts w:hint="eastAsia" w:asciiTheme="majorEastAsia" w:hAnsiTheme="majorEastAsia" w:eastAsiaTheme="majorEastAsia" w:cstheme="majorEastAsia"/>
                <w:kern w:val="0"/>
                <w:sz w:val="21"/>
                <w:szCs w:val="21"/>
                <w:lang w:bidi="ar"/>
              </w:rPr>
              <w:t>逾期支付服务费用，逾期三周，乙方有权终止服务，甲方应承担一切责任。甲方拒绝支付服务费用后，乙方将立即终止服务，甲方应承担一切责任。</w:t>
            </w:r>
          </w:p>
          <w:p>
            <w:pPr>
              <w:widowControl/>
              <w:numPr>
                <w:ilvl w:val="0"/>
                <w:numId w:val="7"/>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乙方责任:</w:t>
            </w:r>
          </w:p>
          <w:p>
            <w:pPr>
              <w:widowControl/>
              <w:numPr>
                <w:ilvl w:val="1"/>
                <w:numId w:val="9"/>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乙方提供服务不符合合同约定，负责返工或提供补救措施，但因甲方使用、保管不当造成设备损坏或由于甲方原因造成缺陷除外;</w:t>
            </w:r>
          </w:p>
          <w:p>
            <w:pPr>
              <w:widowControl/>
              <w:numPr>
                <w:ilvl w:val="1"/>
                <w:numId w:val="9"/>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乙方未按照合同约定完成定期系统保养服务，免收当次保养服务费用:</w:t>
            </w:r>
          </w:p>
          <w:p>
            <w:pPr>
              <w:widowControl/>
              <w:numPr>
                <w:ilvl w:val="1"/>
                <w:numId w:val="9"/>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下列情况下造成服务不符合约定，乙方不承担违约责任:</w:t>
            </w:r>
          </w:p>
          <w:p>
            <w:pPr>
              <w:widowControl/>
              <w:numPr>
                <w:ilvl w:val="2"/>
                <w:numId w:val="9"/>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设备使用过程中因设备自身的问题而造成的故障;</w:t>
            </w:r>
          </w:p>
          <w:p>
            <w:pPr>
              <w:widowControl/>
              <w:numPr>
                <w:ilvl w:val="2"/>
                <w:numId w:val="9"/>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甲方服务范围外的其他设备出现故障而导致的系统故障;</w:t>
            </w:r>
          </w:p>
          <w:p>
            <w:pPr>
              <w:widowControl/>
              <w:numPr>
                <w:ilvl w:val="2"/>
                <w:numId w:val="9"/>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第三方操作系统.数据库平台缺陷;</w:t>
            </w:r>
          </w:p>
          <w:p>
            <w:pPr>
              <w:widowControl/>
              <w:numPr>
                <w:ilvl w:val="2"/>
                <w:numId w:val="9"/>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甲方操作人员安装软件不正确，或在使用软件时违反操作规程或安装与业务无关的其他软件、上网下载软件、玩电脑游戏等，使系统感染病毒并导致正常工作无法进行;</w:t>
            </w:r>
          </w:p>
          <w:p>
            <w:pPr>
              <w:widowControl/>
              <w:numPr>
                <w:ilvl w:val="2"/>
                <w:numId w:val="9"/>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甲方人员擅自变更硬件、软件配置;</w:t>
            </w:r>
          </w:p>
          <w:p>
            <w:pPr>
              <w:widowControl/>
              <w:numPr>
                <w:ilvl w:val="2"/>
                <w:numId w:val="9"/>
              </w:numPr>
              <w:spacing w:line="360" w:lineRule="auto"/>
              <w:jc w:val="left"/>
              <w:rPr>
                <w:rFonts w:ascii="宋体" w:hAnsi="宋体"/>
                <w:b/>
                <w:szCs w:val="21"/>
              </w:rPr>
            </w:pPr>
            <w:r>
              <w:rPr>
                <w:rFonts w:hint="eastAsia" w:asciiTheme="majorEastAsia" w:hAnsiTheme="majorEastAsia" w:eastAsiaTheme="majorEastAsia" w:cstheme="majorEastAsia"/>
                <w:kern w:val="0"/>
                <w:sz w:val="21"/>
                <w:szCs w:val="21"/>
                <w:lang w:bidi="ar"/>
              </w:rPr>
              <w:t>不可抗拒力造成的系统故障。</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21</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440" w:lineRule="exact"/>
        <w:ind w:firstLine="5102" w:firstLineChars="2126"/>
        <w:rPr>
          <w:rFonts w:ascii="仿宋_GB2312" w:hAnsi="宋体" w:eastAsia="仿宋_GB2312" w:cs="宋体"/>
          <w:sz w:val="24"/>
        </w:rPr>
      </w:pPr>
    </w:p>
    <w:p>
      <w:pPr>
        <w:spacing w:line="560" w:lineRule="exact"/>
        <w:ind w:firstLine="6803" w:firstLineChars="2126"/>
        <w:rPr>
          <w:rFonts w:ascii="仿宋_GB2312" w:hAnsi="宋体" w:eastAsia="仿宋_GB2312" w:cs="宋体"/>
          <w:sz w:val="32"/>
          <w:szCs w:val="32"/>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pStyle w:val="4"/>
        <w:spacing w:before="120" w:after="120"/>
        <w:jc w:val="center"/>
        <w:rPr>
          <w:rFonts w:hint="eastAsia" w:ascii="仿宋" w:hAnsi="仿宋" w:eastAsia="仿宋" w:cs="仿宋"/>
          <w:b w:val="0"/>
          <w:kern w:val="1"/>
          <w:sz w:val="44"/>
        </w:rPr>
      </w:pPr>
      <w:r>
        <w:rPr>
          <w:rFonts w:hint="eastAsia"/>
          <w:kern w:val="1"/>
        </w:rPr>
        <w:t>报价</w:t>
      </w:r>
      <w:r>
        <w:rPr>
          <w:kern w:val="1"/>
        </w:rPr>
        <w:t>一览表</w:t>
      </w:r>
    </w:p>
    <w:p>
      <w:pPr>
        <w:tabs>
          <w:tab w:val="left" w:pos="8080"/>
        </w:tabs>
        <w:ind w:right="99" w:rightChars="47"/>
        <w:jc w:val="right"/>
        <w:rPr>
          <w:rFonts w:hint="eastAsia" w:ascii="仿宋" w:hAnsi="仿宋" w:eastAsia="仿宋" w:cs="仿宋"/>
        </w:rPr>
      </w:pPr>
      <w:r>
        <w:rPr>
          <w:rFonts w:hint="eastAsia" w:ascii="仿宋" w:hAnsi="仿宋" w:eastAsia="仿宋" w:cs="仿宋"/>
          <w:sz w:val="24"/>
        </w:rPr>
        <w:t xml:space="preserve"> 单位：人民币元</w:t>
      </w:r>
    </w:p>
    <w:tbl>
      <w:tblPr>
        <w:tblStyle w:val="26"/>
        <w:tblW w:w="0" w:type="auto"/>
        <w:jc w:val="center"/>
        <w:tblLayout w:type="fixed"/>
        <w:tblCellMar>
          <w:top w:w="0" w:type="dxa"/>
          <w:left w:w="108" w:type="dxa"/>
          <w:bottom w:w="0" w:type="dxa"/>
          <w:right w:w="108" w:type="dxa"/>
        </w:tblCellMar>
      </w:tblPr>
      <w:tblGrid>
        <w:gridCol w:w="1842"/>
        <w:gridCol w:w="2700"/>
        <w:gridCol w:w="2174"/>
        <w:gridCol w:w="1681"/>
      </w:tblGrid>
      <w:tr>
        <w:tblPrEx>
          <w:tblCellMar>
            <w:top w:w="0" w:type="dxa"/>
            <w:left w:w="108" w:type="dxa"/>
            <w:bottom w:w="0" w:type="dxa"/>
            <w:right w:w="108" w:type="dxa"/>
          </w:tblCellMar>
        </w:tblPrEx>
        <w:trPr>
          <w:cantSplit/>
          <w:trHeight w:val="720" w:hRule="atLeast"/>
          <w:jc w:val="center"/>
        </w:trPr>
        <w:tc>
          <w:tcPr>
            <w:tcW w:w="1842"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报价（</w:t>
            </w:r>
            <w:r>
              <w:rPr>
                <w:rFonts w:ascii="黑体" w:hAnsi="黑体" w:eastAsia="黑体"/>
                <w:sz w:val="24"/>
              </w:rPr>
              <w:t>总价）</w:t>
            </w:r>
          </w:p>
        </w:tc>
        <w:tc>
          <w:tcPr>
            <w:tcW w:w="1681"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842"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681"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10"/>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10"/>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10"/>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ascii="宋体" w:hAnsi="宋体" w:cs="宋体"/>
                <w:bCs/>
                <w:szCs w:val="21"/>
              </w:rPr>
            </w:pPr>
            <w:r>
              <w:rPr>
                <w:rFonts w:hint="eastAsia" w:ascii="宋体" w:hAnsi="宋体" w:eastAsia="宋体" w:cs="宋体"/>
                <w:kern w:val="0"/>
                <w:sz w:val="21"/>
                <w:szCs w:val="21"/>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eastAsia="宋体" w:cs="宋体"/>
                <w:b/>
                <w:kern w:val="0"/>
                <w:sz w:val="21"/>
                <w:szCs w:val="21"/>
              </w:rPr>
              <w:t>项目概况</w:t>
            </w:r>
          </w:p>
        </w:tc>
        <w:tc>
          <w:tcPr>
            <w:tcW w:w="3701" w:type="dxa"/>
            <w:shd w:val="clear" w:color="auto" w:fill="auto"/>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医院在用系统：安全用药智能辅助决策系统，现有运维服务将于2024年5月31日到期，信息服务部接药学部运维需求，拟采购该系统运维长期服务，一年一签，最长不超三年。</w:t>
            </w:r>
          </w:p>
          <w:p>
            <w:pPr>
              <w:bidi w:val="0"/>
              <w:rPr>
                <w:rFonts w:ascii="宋体" w:hAnsi="宋体" w:cs="宋体"/>
                <w:b w:val="0"/>
                <w:bCs/>
                <w:szCs w:val="21"/>
              </w:rPr>
            </w:pP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ascii="宋体" w:hAnsi="宋体" w:cs="宋体"/>
                <w:bCs/>
                <w:szCs w:val="21"/>
              </w:rPr>
            </w:pPr>
            <w:r>
              <w:rPr>
                <w:rFonts w:hint="eastAsia" w:ascii="宋体" w:hAnsi="宋体" w:eastAsia="宋体" w:cs="宋体"/>
                <w:kern w:val="0"/>
                <w:sz w:val="21"/>
                <w:szCs w:val="21"/>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eastAsia="宋体" w:cs="宋体"/>
                <w:b/>
                <w:kern w:val="0"/>
                <w:sz w:val="21"/>
                <w:szCs w:val="21"/>
              </w:rPr>
              <w:t>服务范围</w:t>
            </w:r>
          </w:p>
        </w:tc>
        <w:tc>
          <w:tcPr>
            <w:tcW w:w="3701" w:type="dxa"/>
            <w:shd w:val="clear" w:color="auto" w:fill="auto"/>
            <w:noWrap w:val="0"/>
            <w:vAlign w:val="center"/>
          </w:tcPr>
          <w:p>
            <w:pPr>
              <w:bidi w:val="0"/>
              <w:rPr>
                <w:rFonts w:ascii="宋体" w:hAnsi="宋体" w:cs="宋体"/>
                <w:b w:val="0"/>
                <w:bCs/>
                <w:szCs w:val="21"/>
              </w:rPr>
            </w:pPr>
            <w:r>
              <w:rPr>
                <w:rFonts w:hint="eastAsia" w:ascii="宋体" w:hAnsi="宋体" w:eastAsia="宋体" w:cs="宋体"/>
                <w:lang w:val="en-US" w:eastAsia="zh-CN"/>
              </w:rPr>
              <w:t>医院在用系统安全用药智能辅助决策系统</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ascii="宋体" w:hAnsi="宋体" w:cs="宋体"/>
                <w:bCs/>
                <w:szCs w:val="21"/>
              </w:rPr>
            </w:pPr>
            <w:r>
              <w:rPr>
                <w:rFonts w:hint="eastAsia" w:ascii="宋体" w:hAnsi="宋体" w:eastAsia="宋体" w:cs="宋体"/>
                <w:kern w:val="0"/>
                <w:sz w:val="21"/>
                <w:szCs w:val="21"/>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eastAsia="宋体" w:cs="宋体"/>
                <w:b/>
                <w:kern w:val="0"/>
                <w:sz w:val="21"/>
                <w:szCs w:val="21"/>
              </w:rPr>
              <w:t>服务内容</w:t>
            </w:r>
          </w:p>
        </w:tc>
        <w:tc>
          <w:tcPr>
            <w:tcW w:w="3701" w:type="dxa"/>
            <w:shd w:val="clear" w:color="auto" w:fill="auto"/>
            <w:noWrap w:val="0"/>
            <w:vAlign w:val="center"/>
          </w:tcPr>
          <w:p>
            <w:pPr>
              <w:numPr>
                <w:ilvl w:val="1"/>
                <w:numId w:val="2"/>
              </w:numPr>
              <w:bidi w:val="0"/>
              <w:rPr>
                <w:rFonts w:hint="eastAsia" w:ascii="宋体" w:hAnsi="宋体" w:eastAsia="宋体" w:cs="宋体"/>
              </w:rPr>
            </w:pPr>
            <w:r>
              <w:rPr>
                <w:rFonts w:hint="eastAsia" w:ascii="宋体" w:hAnsi="宋体" w:eastAsia="宋体" w:cs="宋体"/>
              </w:rPr>
              <w:t xml:space="preserve">医院现有运行系统名称: 安全用药智能辅助决策系统   </w:t>
            </w:r>
          </w:p>
          <w:p>
            <w:pPr>
              <w:numPr>
                <w:ilvl w:val="1"/>
                <w:numId w:val="2"/>
              </w:numPr>
              <w:bidi w:val="0"/>
              <w:rPr>
                <w:rFonts w:hint="eastAsia" w:ascii="宋体" w:hAnsi="宋体" w:eastAsia="宋体" w:cs="宋体"/>
              </w:rPr>
            </w:pPr>
            <w:r>
              <w:rPr>
                <w:rFonts w:hint="eastAsia" w:ascii="宋体" w:hAnsi="宋体" w:eastAsia="宋体" w:cs="宋体"/>
              </w:rPr>
              <w:t>软件技术维护服务包括:</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每月巡查，每季度出具服务器及系统运行状态报告。</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因用户操作系统和主机、打印机等计算机设备变更带来的环境适配调整工作;</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因用户非正常操作带来的软件调整和数据修正工作;</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因用户机器感染病毒带来的清理病毒、修复数据.环境重新调整;</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因计算机网络故障带来的软件重新安装、数据修复;</w:t>
            </w:r>
          </w:p>
          <w:p>
            <w:pPr>
              <w:numPr>
                <w:ilvl w:val="1"/>
                <w:numId w:val="2"/>
              </w:numPr>
              <w:bidi w:val="0"/>
              <w:rPr>
                <w:rFonts w:hint="eastAsia" w:ascii="宋体" w:hAnsi="宋体" w:eastAsia="宋体" w:cs="宋体"/>
                <w:lang w:val="en-US" w:eastAsia="zh-CN"/>
              </w:rPr>
            </w:pPr>
            <w:r>
              <w:rPr>
                <w:rFonts w:hint="eastAsia" w:ascii="宋体" w:hAnsi="宋体" w:eastAsia="宋体" w:cs="宋体"/>
                <w:lang w:val="en-US" w:eastAsia="zh-CN"/>
              </w:rPr>
              <w:t>合同期内甲方院内系统需对接【安全用药智能辅助决策系统】系统的，乙方需提供免费接口服务。</w:t>
            </w:r>
          </w:p>
          <w:p>
            <w:pPr>
              <w:numPr>
                <w:ilvl w:val="1"/>
                <w:numId w:val="2"/>
              </w:numPr>
              <w:bidi w:val="0"/>
              <w:rPr>
                <w:rFonts w:hint="eastAsia" w:ascii="宋体" w:hAnsi="宋体" w:eastAsia="宋体" w:cs="宋体"/>
              </w:rPr>
            </w:pPr>
            <w:r>
              <w:rPr>
                <w:rFonts w:hint="eastAsia" w:ascii="宋体" w:hAnsi="宋体" w:eastAsia="宋体" w:cs="宋体"/>
                <w:lang w:val="en-US" w:eastAsia="zh-CN"/>
              </w:rPr>
              <w:t>软件更新升级服务。</w:t>
            </w:r>
          </w:p>
          <w:p>
            <w:pPr>
              <w:numPr>
                <w:ilvl w:val="1"/>
                <w:numId w:val="2"/>
              </w:numPr>
              <w:bidi w:val="0"/>
              <w:rPr>
                <w:rFonts w:hint="eastAsia" w:ascii="宋体" w:hAnsi="宋体" w:eastAsia="宋体" w:cs="宋体"/>
              </w:rPr>
            </w:pPr>
            <w:r>
              <w:rPr>
                <w:rFonts w:hint="eastAsia" w:ascii="宋体" w:hAnsi="宋体" w:eastAsia="宋体" w:cs="宋体"/>
                <w:lang w:val="en-US" w:eastAsia="zh-CN"/>
              </w:rPr>
              <w:t>对甲方人员进行软件业务培训。</w:t>
            </w:r>
          </w:p>
          <w:p>
            <w:pPr>
              <w:numPr>
                <w:ilvl w:val="1"/>
                <w:numId w:val="2"/>
              </w:numPr>
              <w:bidi w:val="0"/>
              <w:rPr>
                <w:rFonts w:hint="eastAsia" w:ascii="宋体" w:hAnsi="宋体" w:eastAsia="宋体" w:cs="宋体"/>
              </w:rPr>
            </w:pPr>
          </w:p>
          <w:p>
            <w:pPr>
              <w:numPr>
                <w:ilvl w:val="1"/>
                <w:numId w:val="2"/>
              </w:numPr>
              <w:bidi w:val="0"/>
              <w:rPr>
                <w:rFonts w:hint="eastAsia" w:ascii="宋体" w:hAnsi="宋体" w:eastAsia="宋体" w:cs="宋体"/>
              </w:rPr>
            </w:pPr>
            <w:r>
              <w:rPr>
                <w:rFonts w:hint="eastAsia" w:ascii="宋体" w:hAnsi="宋体" w:eastAsia="宋体" w:cs="宋体"/>
              </w:rPr>
              <w:t>乙方为甲方提供两次的PASS V4.2、PASS PharmAssist V3.0、PASS PharmReview V1.1数据维护服务。</w:t>
            </w:r>
          </w:p>
          <w:p>
            <w:pPr>
              <w:numPr>
                <w:ilvl w:val="1"/>
                <w:numId w:val="2"/>
              </w:numPr>
              <w:bidi w:val="0"/>
              <w:rPr>
                <w:rFonts w:hint="eastAsia" w:ascii="宋体" w:hAnsi="宋体" w:eastAsia="宋体" w:cs="宋体"/>
              </w:rPr>
            </w:pPr>
            <w:r>
              <w:rPr>
                <w:rFonts w:hint="eastAsia" w:ascii="宋体" w:hAnsi="宋体" w:eastAsia="宋体" w:cs="宋体"/>
              </w:rPr>
              <w:t>乙方为甲方提供十次MCDEX NET V3.1的数据升级服务。</w:t>
            </w:r>
          </w:p>
          <w:p>
            <w:pPr>
              <w:numPr>
                <w:ilvl w:val="1"/>
                <w:numId w:val="2"/>
              </w:numPr>
              <w:bidi w:val="0"/>
              <w:ind w:left="0" w:leftChars="0" w:firstLine="400" w:firstLineChars="0"/>
              <w:rPr>
                <w:rFonts w:ascii="宋体" w:hAnsi="宋体" w:cs="宋体"/>
                <w:b w:val="0"/>
                <w:bCs/>
                <w:szCs w:val="21"/>
              </w:rPr>
            </w:pPr>
            <w:r>
              <w:rPr>
                <w:rFonts w:hint="eastAsia" w:ascii="宋体" w:hAnsi="宋体" w:eastAsia="宋体" w:cs="宋体"/>
              </w:rPr>
              <w:t>若甲方在PASS V4.2、 PASS PharmAssist V3.0、PASS PharmReview V1.1</w:t>
            </w:r>
            <w:r>
              <w:rPr>
                <w:rFonts w:hint="eastAsia" w:ascii="宋体" w:hAnsi="宋体" w:eastAsia="宋体" w:cs="宋体"/>
                <w:lang w:eastAsia="zh-CN"/>
              </w:rPr>
              <w:t>、MCDEX NET V3.1</w:t>
            </w:r>
            <w:r>
              <w:rPr>
                <w:rFonts w:hint="eastAsia" w:ascii="宋体" w:hAnsi="宋体" w:eastAsia="宋体" w:cs="宋体"/>
              </w:rPr>
              <w:t>使用过程中遇到问题，乙方将通过远程操作、电话或电子邮件的方式为甲方提供技术服务。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bCs/>
                <w:szCs w:val="21"/>
              </w:rPr>
            </w:pPr>
            <w:r>
              <w:rPr>
                <w:rFonts w:hint="eastAsia" w:ascii="宋体" w:hAnsi="宋体" w:eastAsia="宋体" w:cs="宋体"/>
                <w:kern w:val="0"/>
                <w:sz w:val="21"/>
                <w:szCs w:val="21"/>
                <w:lang w:val="en-US" w:eastAsia="zh-CN"/>
              </w:rPr>
              <w:t>4</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bCs/>
                <w:kern w:val="0"/>
                <w:szCs w:val="21"/>
              </w:rPr>
              <w:t>供应商资格要求</w:t>
            </w:r>
          </w:p>
        </w:tc>
        <w:tc>
          <w:tcPr>
            <w:tcW w:w="3701" w:type="dxa"/>
            <w:shd w:val="clear" w:color="auto" w:fill="auto"/>
            <w:noWrap w:val="0"/>
            <w:vAlign w:val="top"/>
          </w:tcPr>
          <w:p>
            <w:pPr>
              <w:bidi w:val="0"/>
              <w:rPr>
                <w:rFonts w:ascii="宋体" w:hAnsi="宋体" w:cs="宋体"/>
                <w:b w:val="0"/>
                <w:bCs/>
                <w:szCs w:val="21"/>
              </w:rPr>
            </w:pPr>
            <w:r>
              <w:rPr>
                <w:rFonts w:hint="eastAsia" w:ascii="宋体" w:hAnsi="宋体" w:eastAsia="宋体" w:cs="宋体"/>
              </w:rPr>
              <w:t>参与投标公司的经营许可范围包含计算机软件、信息系统软件的开发、运行维护,或参与投标公司具有</w:t>
            </w:r>
            <w:r>
              <w:rPr>
                <w:rFonts w:hint="eastAsia" w:ascii="宋体" w:hAnsi="宋体" w:eastAsia="宋体" w:cs="宋体"/>
                <w:lang w:eastAsia="zh-CN"/>
              </w:rPr>
              <w:t>《</w:t>
            </w:r>
            <w:r>
              <w:rPr>
                <w:rFonts w:hint="eastAsia" w:ascii="宋体" w:hAnsi="宋体" w:eastAsia="宋体" w:cs="宋体"/>
                <w:lang w:val="en-US" w:eastAsia="zh-CN"/>
              </w:rPr>
              <w:t>计算机软件著作权登记证书：合同用药检测系统</w:t>
            </w:r>
            <w:r>
              <w:rPr>
                <w:rFonts w:hint="eastAsia" w:ascii="宋体" w:hAnsi="宋体" w:eastAsia="宋体" w:cs="宋体"/>
                <w:lang w:eastAsia="zh-CN"/>
              </w:rPr>
              <w:t>》（</w:t>
            </w:r>
            <w:r>
              <w:rPr>
                <w:rFonts w:hint="eastAsia" w:ascii="宋体" w:hAnsi="宋体" w:eastAsia="宋体" w:cs="宋体"/>
                <w:lang w:val="en-US" w:eastAsia="zh-CN"/>
              </w:rPr>
              <w:t>编号2022SR0896656</w:t>
            </w:r>
            <w:r>
              <w:rPr>
                <w:rFonts w:hint="eastAsia" w:ascii="宋体" w:hAnsi="宋体" w:eastAsia="宋体" w:cs="宋体"/>
                <w:lang w:eastAsia="zh-CN"/>
              </w:rPr>
              <w:t>）</w:t>
            </w:r>
            <w:r>
              <w:rPr>
                <w:rFonts w:hint="eastAsia" w:ascii="宋体" w:hAnsi="宋体" w:eastAsia="宋体" w:cs="宋体"/>
                <w:lang w:val="en-US" w:eastAsia="zh-CN"/>
              </w:rPr>
              <w:t>或著作权人授权运维系统</w:t>
            </w:r>
            <w:r>
              <w:rPr>
                <w:rFonts w:hint="eastAsia" w:ascii="宋体" w:hAnsi="宋体" w:eastAsia="宋体" w:cs="宋体"/>
              </w:rPr>
              <w:t>资质。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eastAsia="宋体" w:cs="宋体"/>
                <w:kern w:val="0"/>
                <w:sz w:val="21"/>
                <w:szCs w:val="21"/>
                <w:lang w:val="en-US" w:eastAsia="zh-CN"/>
              </w:rPr>
              <w:t>5</w:t>
            </w:r>
          </w:p>
        </w:tc>
        <w:tc>
          <w:tcPr>
            <w:tcW w:w="1827" w:type="dxa"/>
            <w:shd w:val="clear" w:color="auto" w:fill="auto"/>
            <w:noWrap w:val="0"/>
            <w:vAlign w:val="center"/>
          </w:tcPr>
          <w:p>
            <w:pPr>
              <w:jc w:val="center"/>
              <w:rPr>
                <w:rFonts w:ascii="宋体" w:hAnsi="宋体" w:cs="宋体"/>
                <w:bCs/>
                <w:szCs w:val="21"/>
              </w:rPr>
            </w:pPr>
            <w:r>
              <w:rPr>
                <w:rFonts w:hint="eastAsia" w:ascii="宋体" w:hAnsi="宋体" w:eastAsia="宋体" w:cs="宋体"/>
                <w:b/>
                <w:kern w:val="0"/>
                <w:sz w:val="21"/>
                <w:szCs w:val="21"/>
              </w:rPr>
              <w:t>成果要求</w:t>
            </w:r>
          </w:p>
        </w:tc>
        <w:tc>
          <w:tcPr>
            <w:tcW w:w="3701" w:type="dxa"/>
            <w:shd w:val="clear" w:color="auto" w:fill="auto"/>
            <w:noWrap w:val="0"/>
            <w:vAlign w:val="center"/>
          </w:tcPr>
          <w:p>
            <w:pPr>
              <w:bidi w:val="0"/>
              <w:rPr>
                <w:rFonts w:ascii="宋体" w:hAnsi="宋体" w:cs="宋体"/>
                <w:b w:val="0"/>
                <w:bCs/>
                <w:szCs w:val="21"/>
              </w:rPr>
            </w:pPr>
            <w:r>
              <w:rPr>
                <w:rFonts w:hint="eastAsia" w:ascii="宋体" w:hAnsi="宋体" w:eastAsia="宋体" w:cs="宋体"/>
                <w:lang w:val="en-US" w:eastAsia="zh-CN"/>
              </w:rPr>
              <w:t>服务器及系统运行状态季度报告、运维记录单</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eastAsia="宋体" w:cs="宋体"/>
                <w:kern w:val="0"/>
                <w:sz w:val="21"/>
                <w:szCs w:val="21"/>
                <w:lang w:val="en-US" w:eastAsia="zh-CN"/>
              </w:rPr>
              <w:t>6</w:t>
            </w:r>
          </w:p>
        </w:tc>
        <w:tc>
          <w:tcPr>
            <w:tcW w:w="1827" w:type="dxa"/>
            <w:shd w:val="clear" w:color="auto" w:fill="auto"/>
            <w:noWrap w:val="0"/>
            <w:vAlign w:val="center"/>
          </w:tcPr>
          <w:p>
            <w:pPr>
              <w:jc w:val="center"/>
              <w:rPr>
                <w:rFonts w:ascii="宋体" w:hAnsi="宋体" w:cs="宋体"/>
                <w:bCs/>
                <w:szCs w:val="21"/>
              </w:rPr>
            </w:pPr>
            <w:r>
              <w:rPr>
                <w:rFonts w:hint="eastAsia" w:ascii="宋体" w:hAnsi="宋体" w:eastAsia="宋体" w:cs="宋体"/>
                <w:b/>
                <w:kern w:val="0"/>
                <w:sz w:val="21"/>
                <w:szCs w:val="21"/>
              </w:rPr>
              <w:t>其他要求</w:t>
            </w:r>
          </w:p>
        </w:tc>
        <w:tc>
          <w:tcPr>
            <w:tcW w:w="3701" w:type="dxa"/>
            <w:shd w:val="clear" w:color="auto" w:fill="auto"/>
            <w:noWrap w:val="0"/>
            <w:vAlign w:val="center"/>
          </w:tcPr>
          <w:p>
            <w:pPr>
              <w:pStyle w:val="2"/>
              <w:rPr>
                <w:sz w:val="21"/>
                <w:szCs w:val="21"/>
              </w:rPr>
            </w:pPr>
            <w:r>
              <w:rPr>
                <w:rFonts w:hint="eastAsia"/>
                <w:sz w:val="21"/>
                <w:szCs w:val="21"/>
                <w:lang w:val="en-US" w:eastAsia="zh-CN"/>
              </w:rPr>
              <w:t>一、</w:t>
            </w:r>
            <w:r>
              <w:rPr>
                <w:rFonts w:hint="eastAsia"/>
                <w:sz w:val="21"/>
                <w:szCs w:val="21"/>
              </w:rPr>
              <w:t>保密协议</w:t>
            </w:r>
          </w:p>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甲乙双方应互相尊重对方的知识产权和商业秘密。如最终用户对于项目保密有特别要求的，甲乙双方均应严格按照特别要求执行。</w:t>
            </w:r>
          </w:p>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乙方应对提供服务过程中获取或知悉的甲方保密信息履行严格的保密义务，非经甲方同意不得向第三方披露，并不得用于提供服务以外的其他任何目的。</w:t>
            </w:r>
          </w:p>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乙方为甲方提供服务及交付相关服务成果并不意味着乙方向甲方转让或授权许可使用任何乙方自主拥有或已获第三方许可的知识产权；甲方应注意保护乙方交付的相关文档中可能包含的乙方的商业秘密或技术方案等内容，未经乙方同意不应向其他任何第三方披露。</w:t>
            </w:r>
          </w:p>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一方可仅为本合同目的向其确有知悉必要的雇员披露对方提供的保密资料，但同时须指示其雇员遵守本条规定的保密义务。一方因法律法规的强制性规定或政策要求须披露相关信息的，应尽可能提前通知披露方，使其得以采取其认为必要的保护措施。</w:t>
            </w:r>
          </w:p>
          <w:p>
            <w:pPr>
              <w:widowControl/>
              <w:numPr>
                <w:ilvl w:val="1"/>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本合同所述应予以保密的信息不包含属于以下情形的内容：</w:t>
            </w:r>
          </w:p>
          <w:p>
            <w:pPr>
              <w:widowControl/>
              <w:numPr>
                <w:ilvl w:val="2"/>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并非因接收方的过错而已经进入公有领域的；</w:t>
            </w:r>
          </w:p>
          <w:p>
            <w:pPr>
              <w:widowControl/>
              <w:numPr>
                <w:ilvl w:val="2"/>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已通过接收方的有关记录证明是由其独立开发的；</w:t>
            </w:r>
          </w:p>
          <w:p>
            <w:pPr>
              <w:widowControl/>
              <w:numPr>
                <w:ilvl w:val="2"/>
                <w:numId w:val="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由接收方从没有违反对披露方的保密义务的一方取得的。</w:t>
            </w:r>
          </w:p>
          <w:p>
            <w:pPr>
              <w:pStyle w:val="2"/>
              <w:rPr>
                <w:sz w:val="21"/>
                <w:szCs w:val="21"/>
              </w:rPr>
            </w:pPr>
            <w:r>
              <w:rPr>
                <w:rFonts w:hint="eastAsia"/>
                <w:sz w:val="21"/>
                <w:szCs w:val="21"/>
                <w:lang w:val="en-US" w:eastAsia="zh-CN"/>
              </w:rPr>
              <w:t>二、</w:t>
            </w:r>
            <w:r>
              <w:rPr>
                <w:rFonts w:hint="eastAsia"/>
                <w:sz w:val="21"/>
                <w:szCs w:val="21"/>
              </w:rPr>
              <w:t>争议的解决</w:t>
            </w:r>
          </w:p>
          <w:p>
            <w:pPr>
              <w:widowControl/>
              <w:spacing w:line="360" w:lineRule="auto"/>
              <w:ind w:firstLine="367" w:firstLineChars="175"/>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协议双方应通过友好协商解决和本协议有关的一切争议。如果协商不成，甲、乙双方同意选择甲方所在地的人民法院提起诉讼。</w:t>
            </w:r>
          </w:p>
          <w:p>
            <w:pPr>
              <w:pStyle w:val="2"/>
              <w:rPr>
                <w:sz w:val="21"/>
                <w:szCs w:val="21"/>
              </w:rPr>
            </w:pPr>
            <w:r>
              <w:rPr>
                <w:rFonts w:hint="eastAsia"/>
                <w:sz w:val="21"/>
                <w:szCs w:val="21"/>
                <w:lang w:val="en-US" w:eastAsia="zh-CN"/>
              </w:rPr>
              <w:t>三、</w:t>
            </w:r>
            <w:r>
              <w:rPr>
                <w:rFonts w:hint="eastAsia"/>
                <w:sz w:val="21"/>
                <w:szCs w:val="21"/>
              </w:rPr>
              <w:t>协议的生效</w:t>
            </w:r>
          </w:p>
          <w:p>
            <w:pPr>
              <w:widowControl/>
              <w:spacing w:line="360" w:lineRule="auto"/>
              <w:ind w:firstLine="420" w:firstLineChars="200"/>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本协议经双方法定代表人或授权代表签字并加盖公章后生效。</w:t>
            </w:r>
          </w:p>
          <w:p>
            <w:pPr>
              <w:pStyle w:val="2"/>
              <w:rPr>
                <w:sz w:val="21"/>
                <w:szCs w:val="21"/>
              </w:rPr>
            </w:pPr>
            <w:r>
              <w:rPr>
                <w:rFonts w:hint="eastAsia"/>
                <w:sz w:val="21"/>
                <w:szCs w:val="21"/>
                <w:lang w:val="en-US" w:eastAsia="zh-CN"/>
              </w:rPr>
              <w:t>四、</w:t>
            </w:r>
            <w:r>
              <w:rPr>
                <w:rFonts w:hint="eastAsia"/>
                <w:sz w:val="21"/>
                <w:szCs w:val="21"/>
              </w:rPr>
              <w:t>其他约定事项</w:t>
            </w:r>
          </w:p>
          <w:p>
            <w:pPr>
              <w:widowControl/>
              <w:numPr>
                <w:ilvl w:val="1"/>
                <w:numId w:val="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一方当事人未经另一方书面同意，不得将其在合同项下的权利和义务全部或部分转让给第三人。,</w:t>
            </w:r>
          </w:p>
          <w:p>
            <w:pPr>
              <w:bidi w:val="0"/>
              <w:rPr>
                <w:rFonts w:ascii="宋体" w:hAnsi="宋体" w:cs="宋体"/>
                <w:bCs/>
                <w:szCs w:val="21"/>
              </w:rPr>
            </w:pPr>
            <w:r>
              <w:rPr>
                <w:rFonts w:hint="eastAsia" w:asciiTheme="majorEastAsia" w:hAnsiTheme="majorEastAsia" w:eastAsiaTheme="majorEastAsia" w:cstheme="majorEastAsia"/>
                <w:kern w:val="0"/>
                <w:sz w:val="21"/>
                <w:szCs w:val="21"/>
                <w:lang w:bidi="ar"/>
              </w:rPr>
              <w:t>本合同一式四份，甲方三份，乙方一份。</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07"/>
        <w:gridCol w:w="411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69"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507"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411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507" w:type="dxa"/>
            <w:shd w:val="clear" w:color="auto" w:fill="auto"/>
            <w:noWrap w:val="0"/>
            <w:vAlign w:val="center"/>
          </w:tcPr>
          <w:p>
            <w:pPr>
              <w:jc w:val="center"/>
              <w:rPr>
                <w:rFonts w:ascii="宋体" w:hAnsi="宋体" w:cs="宋体"/>
                <w:b/>
                <w:szCs w:val="21"/>
              </w:rPr>
            </w:pPr>
            <w:r>
              <w:rPr>
                <w:rFonts w:hint="eastAsia" w:ascii="宋体" w:hAnsi="宋体" w:cs="宋体"/>
                <w:b/>
                <w:bCs/>
                <w:kern w:val="0"/>
                <w:szCs w:val="21"/>
              </w:rPr>
              <w:t>报价要求</w:t>
            </w:r>
          </w:p>
        </w:tc>
        <w:tc>
          <w:tcPr>
            <w:tcW w:w="4111" w:type="dxa"/>
            <w:shd w:val="clear" w:color="auto" w:fill="auto"/>
            <w:noWrap w:val="0"/>
            <w:vAlign w:val="center"/>
          </w:tcPr>
          <w:p>
            <w:pPr>
              <w:spacing w:line="440" w:lineRule="exact"/>
              <w:outlineLvl w:val="0"/>
              <w:rPr>
                <w:rFonts w:ascii="宋体" w:hAnsi="宋体"/>
                <w:bCs/>
                <w:szCs w:val="21"/>
              </w:rPr>
            </w:pPr>
            <w:r>
              <w:rPr>
                <w:rFonts w:hint="eastAsia" w:ascii="宋体" w:hAnsi="宋体"/>
                <w:bCs/>
                <w:szCs w:val="21"/>
              </w:rPr>
              <w:t>投标总价（人民币）须是完成该项目的一切费用总和；</w:t>
            </w:r>
          </w:p>
          <w:p>
            <w:pPr>
              <w:outlineLvl w:val="0"/>
              <w:rPr>
                <w:rFonts w:ascii="宋体" w:hAnsi="宋体" w:cs="宋体"/>
                <w:bCs/>
                <w:szCs w:val="21"/>
              </w:rPr>
            </w:pPr>
            <w:r>
              <w:rPr>
                <w:rFonts w:hint="eastAsia" w:ascii="宋体" w:hAnsi="宋体"/>
                <w:bCs/>
                <w:szCs w:val="21"/>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507"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4111" w:type="dxa"/>
            <w:shd w:val="clear" w:color="auto" w:fill="auto"/>
            <w:noWrap w:val="0"/>
            <w:vAlign w:val="center"/>
          </w:tcPr>
          <w:p>
            <w:pPr>
              <w:widowControl/>
              <w:numPr>
                <w:ilvl w:val="1"/>
                <w:numId w:val="11"/>
              </w:numPr>
              <w:spacing w:line="360" w:lineRule="auto"/>
              <w:jc w:val="left"/>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进度款：运维6个月后，乙方提供运维记录、服务器及系统运行状态报告及正规等额发票后，甲方15个工作日内支付50%；</w:t>
            </w:r>
          </w:p>
          <w:p>
            <w:pPr>
              <w:widowControl/>
              <w:numPr>
                <w:ilvl w:val="1"/>
                <w:numId w:val="11"/>
              </w:numPr>
              <w:spacing w:line="360" w:lineRule="auto"/>
              <w:ind w:left="0" w:leftChars="0" w:firstLine="400" w:firstLineChars="0"/>
              <w:jc w:val="left"/>
              <w:rPr>
                <w:rFonts w:ascii="宋体" w:hAnsi="宋体" w:cs="宋体"/>
                <w:bCs/>
                <w:szCs w:val="21"/>
              </w:rPr>
            </w:pPr>
            <w:r>
              <w:rPr>
                <w:rFonts w:hint="eastAsia" w:asciiTheme="majorEastAsia" w:hAnsiTheme="majorEastAsia" w:eastAsiaTheme="majorEastAsia" w:cstheme="majorEastAsia"/>
                <w:kern w:val="0"/>
                <w:sz w:val="21"/>
                <w:szCs w:val="21"/>
                <w:lang w:val="en-US" w:eastAsia="zh-CN" w:bidi="ar"/>
              </w:rPr>
              <w:t>尾款：运维期满，乙方提供年度运维记录、服务器及系统运行状态报告及正规等额发票后，甲方15个工作日内支付尾款50%。</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3</w:t>
            </w:r>
          </w:p>
        </w:tc>
        <w:tc>
          <w:tcPr>
            <w:tcW w:w="1507" w:type="dxa"/>
            <w:shd w:val="clear" w:color="auto" w:fill="auto"/>
            <w:noWrap w:val="0"/>
            <w:vAlign w:val="center"/>
          </w:tcPr>
          <w:p>
            <w:pPr>
              <w:jc w:val="center"/>
              <w:rPr>
                <w:rFonts w:ascii="宋体" w:hAnsi="宋体" w:cs="宋体"/>
                <w:b/>
                <w:bCs/>
                <w:szCs w:val="21"/>
              </w:rPr>
            </w:pPr>
            <w:r>
              <w:rPr>
                <w:rFonts w:hint="eastAsia" w:ascii="宋体" w:hAnsi="宋体" w:cs="宋体"/>
                <w:b/>
                <w:kern w:val="0"/>
                <w:szCs w:val="21"/>
              </w:rPr>
              <w:t>服务地点</w:t>
            </w:r>
          </w:p>
        </w:tc>
        <w:tc>
          <w:tcPr>
            <w:tcW w:w="4111" w:type="dxa"/>
            <w:shd w:val="clear" w:color="auto" w:fill="auto"/>
            <w:noWrap w:val="0"/>
            <w:vAlign w:val="center"/>
          </w:tcPr>
          <w:p>
            <w:pPr>
              <w:rPr>
                <w:rFonts w:ascii="宋体" w:hAnsi="宋体" w:cs="宋体"/>
                <w:bCs/>
                <w:szCs w:val="21"/>
              </w:rPr>
            </w:pPr>
            <w:r>
              <w:rPr>
                <w:rFonts w:hint="eastAsia" w:ascii="宋体" w:hAnsi="宋体"/>
                <w:b w:val="0"/>
                <w:bCs/>
                <w:szCs w:val="21"/>
                <w:lang w:val="en-US" w:eastAsia="zh-CN"/>
              </w:rPr>
              <w:t>深圳市光明区人民医院现场服务，支持热线</w:t>
            </w:r>
            <w:r>
              <w:rPr>
                <w:rFonts w:hint="default" w:ascii="宋体" w:hAnsi="宋体"/>
                <w:b w:val="0"/>
                <w:bCs/>
                <w:szCs w:val="21"/>
                <w:lang w:val="en-US" w:eastAsia="zh-CN"/>
              </w:rPr>
              <w:t>远程网上服务</w:t>
            </w:r>
            <w:r>
              <w:rPr>
                <w:rFonts w:hint="eastAsia" w:ascii="宋体" w:hAnsi="宋体"/>
                <w:b w:val="0"/>
                <w:bCs/>
                <w:szCs w:val="21"/>
                <w:lang w:val="en-US" w:eastAsia="zh-CN"/>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507"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服务期限</w:t>
            </w:r>
          </w:p>
        </w:tc>
        <w:tc>
          <w:tcPr>
            <w:tcW w:w="4111" w:type="dxa"/>
            <w:shd w:val="clear" w:color="auto" w:fill="auto"/>
            <w:noWrap w:val="0"/>
            <w:vAlign w:val="center"/>
          </w:tcPr>
          <w:p>
            <w:pPr>
              <w:rPr>
                <w:rFonts w:hint="eastAsia" w:ascii="宋体" w:hAnsi="宋体" w:cs="宋体"/>
                <w:kern w:val="0"/>
                <w:szCs w:val="21"/>
              </w:rPr>
            </w:pPr>
            <w:r>
              <w:rPr>
                <w:rFonts w:hint="eastAsia" w:ascii="宋体" w:hAnsi="宋体" w:cs="宋体"/>
                <w:kern w:val="0"/>
                <w:szCs w:val="21"/>
              </w:rPr>
              <w:t>自合同签订之日起一年。</w:t>
            </w:r>
          </w:p>
          <w:p>
            <w:pPr>
              <w:rPr>
                <w:rFonts w:hint="eastAsia" w:ascii="宋体" w:hAnsi="宋体" w:cs="宋体"/>
                <w:bCs/>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5</w:t>
            </w:r>
          </w:p>
        </w:tc>
        <w:tc>
          <w:tcPr>
            <w:tcW w:w="150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售后服务要求</w:t>
            </w:r>
          </w:p>
        </w:tc>
        <w:tc>
          <w:tcPr>
            <w:tcW w:w="4111" w:type="dxa"/>
            <w:shd w:val="clear" w:color="auto" w:fill="auto"/>
            <w:noWrap w:val="0"/>
            <w:vAlign w:val="center"/>
          </w:tcPr>
          <w:p>
            <w:pPr>
              <w:widowControl/>
              <w:numPr>
                <w:ilvl w:val="1"/>
                <w:numId w:val="12"/>
              </w:numPr>
              <w:spacing w:line="360" w:lineRule="auto"/>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乙方客服工作执行服务单工作制，客服工程师根据电话记录填写《运维记录单》，并按照约定时间进行远程网上服务或现场服务。远程网上服务故障排除认定以一周内无同一原因引发故障为准，现场服务故障排除认定以客户在“运维记录单”上的签字为准。</w:t>
            </w:r>
          </w:p>
          <w:p>
            <w:pPr>
              <w:widowControl/>
              <w:numPr>
                <w:ilvl w:val="1"/>
                <w:numId w:val="12"/>
              </w:numPr>
              <w:spacing w:line="360" w:lineRule="auto"/>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乙方客服工作就各种服务方式，针对请求客服内容，分别做出以下承诺:</w:t>
            </w:r>
          </w:p>
          <w:p>
            <w:pPr>
              <w:widowControl/>
              <w:numPr>
                <w:ilvl w:val="2"/>
                <w:numId w:val="12"/>
              </w:numPr>
              <w:spacing w:line="360" w:lineRule="auto"/>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系统一般性故障(以接听电话时间为准):远程网上服务在一个工作日内完成，现场服务顺延半个工作日。</w:t>
            </w:r>
          </w:p>
          <w:p>
            <w:pPr>
              <w:widowControl/>
              <w:numPr>
                <w:ilvl w:val="2"/>
                <w:numId w:val="12"/>
              </w:numPr>
              <w:spacing w:line="360" w:lineRule="auto"/>
              <w:ind w:left="0" w:leftChars="0" w:firstLine="402" w:firstLineChars="0"/>
              <w:jc w:val="left"/>
              <w:rPr>
                <w:rFonts w:ascii="宋体" w:hAnsi="宋体" w:cs="宋体"/>
                <w:bCs/>
                <w:szCs w:val="21"/>
              </w:rPr>
            </w:pPr>
            <w:r>
              <w:rPr>
                <w:rFonts w:hint="eastAsia" w:ascii="宋体" w:hAnsi="宋体" w:eastAsia="宋体" w:cs="宋体"/>
                <w:kern w:val="0"/>
                <w:sz w:val="21"/>
                <w:szCs w:val="21"/>
                <w:lang w:bidi="ar"/>
              </w:rPr>
              <w:t>系统严重故障(以接听电话时间为准):立即开始远程网上维护服务，并在两小时内到达现场，提出解决方案并及时实施。</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6</w:t>
            </w:r>
          </w:p>
        </w:tc>
        <w:tc>
          <w:tcPr>
            <w:tcW w:w="150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违约金</w:t>
            </w:r>
          </w:p>
        </w:tc>
        <w:tc>
          <w:tcPr>
            <w:tcW w:w="4111" w:type="dxa"/>
            <w:shd w:val="clear" w:color="auto" w:fill="auto"/>
            <w:noWrap w:val="0"/>
            <w:vAlign w:val="center"/>
          </w:tcPr>
          <w:p>
            <w:pPr>
              <w:rPr>
                <w:rFonts w:ascii="宋体" w:hAnsi="宋体" w:cs="宋体"/>
                <w:bCs/>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7</w:t>
            </w:r>
          </w:p>
        </w:tc>
        <w:tc>
          <w:tcPr>
            <w:tcW w:w="1507"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违约责任</w:t>
            </w:r>
          </w:p>
        </w:tc>
        <w:tc>
          <w:tcPr>
            <w:tcW w:w="4111" w:type="dxa"/>
            <w:shd w:val="clear" w:color="auto" w:fill="auto"/>
            <w:noWrap w:val="0"/>
            <w:vAlign w:val="center"/>
          </w:tcPr>
          <w:p>
            <w:pPr>
              <w:widowControl/>
              <w:numPr>
                <w:ilvl w:val="0"/>
                <w:numId w:val="0"/>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val="en-US" w:eastAsia="zh-CN" w:bidi="ar"/>
              </w:rPr>
              <w:t>一、</w:t>
            </w:r>
            <w:r>
              <w:rPr>
                <w:rFonts w:hint="eastAsia" w:asciiTheme="majorEastAsia" w:hAnsiTheme="majorEastAsia" w:eastAsiaTheme="majorEastAsia" w:cstheme="majorEastAsia"/>
                <w:kern w:val="0"/>
                <w:sz w:val="21"/>
                <w:szCs w:val="21"/>
                <w:lang w:bidi="ar"/>
              </w:rPr>
              <w:t>甲方责任:</w:t>
            </w:r>
          </w:p>
          <w:p>
            <w:pPr>
              <w:widowControl/>
              <w:numPr>
                <w:ilvl w:val="1"/>
                <w:numId w:val="1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约定提供工作条件或未按约定完成配合事项，或者提供工作条件、完成配合事项不符合合同约定的，影响服务进度和质量，甲方应承担一切责任。</w:t>
            </w:r>
          </w:p>
          <w:p>
            <w:pPr>
              <w:widowControl/>
              <w:numPr>
                <w:ilvl w:val="1"/>
                <w:numId w:val="13"/>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val="en-US" w:eastAsia="zh-CN" w:bidi="ar"/>
              </w:rPr>
              <w:t>无正当理由（如财政资金拨款未到位、不可抗力因素等）</w:t>
            </w:r>
            <w:r>
              <w:rPr>
                <w:rFonts w:hint="eastAsia" w:asciiTheme="majorEastAsia" w:hAnsiTheme="majorEastAsia" w:eastAsiaTheme="majorEastAsia" w:cstheme="majorEastAsia"/>
                <w:kern w:val="0"/>
                <w:sz w:val="21"/>
                <w:szCs w:val="21"/>
                <w:lang w:bidi="ar"/>
              </w:rPr>
              <w:t>逾期支付服务费用，逾期三周，乙方有权终止服务，甲方应承担一切责任。甲方拒绝支付服务费用后，乙方将立即终止服务，甲方应承担一切责任。</w:t>
            </w:r>
          </w:p>
          <w:p>
            <w:pPr>
              <w:widowControl/>
              <w:numPr>
                <w:ilvl w:val="0"/>
                <w:numId w:val="0"/>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val="en-US" w:eastAsia="zh-CN" w:bidi="ar"/>
              </w:rPr>
              <w:t>二、</w:t>
            </w:r>
            <w:r>
              <w:rPr>
                <w:rFonts w:hint="eastAsia" w:asciiTheme="majorEastAsia" w:hAnsiTheme="majorEastAsia" w:eastAsiaTheme="majorEastAsia" w:cstheme="majorEastAsia"/>
                <w:kern w:val="0"/>
                <w:sz w:val="21"/>
                <w:szCs w:val="21"/>
                <w:lang w:bidi="ar"/>
              </w:rPr>
              <w:t>乙方责任:</w:t>
            </w:r>
          </w:p>
          <w:p>
            <w:pPr>
              <w:widowControl/>
              <w:numPr>
                <w:ilvl w:val="1"/>
                <w:numId w:val="1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乙方提供服务不符合合同约定，负责返工或提供补救措施，但因甲方使用、保管不当造成设备损坏或由于甲方原因造成缺陷除外;</w:t>
            </w:r>
          </w:p>
          <w:p>
            <w:pPr>
              <w:widowControl/>
              <w:numPr>
                <w:ilvl w:val="1"/>
                <w:numId w:val="1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乙方未按照合同约定完成定期系统保养服务，免收当次保养服务费用:</w:t>
            </w:r>
          </w:p>
          <w:p>
            <w:pPr>
              <w:widowControl/>
              <w:numPr>
                <w:ilvl w:val="1"/>
                <w:numId w:val="1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下列情况下造成服务不符合约定，乙方不承担违约责任:</w:t>
            </w:r>
          </w:p>
          <w:p>
            <w:pPr>
              <w:widowControl/>
              <w:numPr>
                <w:ilvl w:val="2"/>
                <w:numId w:val="1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设备使用过程中因设备自身的问题而造成的故障;</w:t>
            </w:r>
          </w:p>
          <w:p>
            <w:pPr>
              <w:widowControl/>
              <w:numPr>
                <w:ilvl w:val="2"/>
                <w:numId w:val="1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甲方服务范围外的其他设备出现故障而导致的系统故障;</w:t>
            </w:r>
          </w:p>
          <w:p>
            <w:pPr>
              <w:widowControl/>
              <w:numPr>
                <w:ilvl w:val="2"/>
                <w:numId w:val="1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第三方操作系统.数据库平台缺陷;</w:t>
            </w:r>
          </w:p>
          <w:p>
            <w:pPr>
              <w:widowControl/>
              <w:numPr>
                <w:ilvl w:val="2"/>
                <w:numId w:val="1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甲方操作人员安装软件不正确，或在使用软件时违反操作规程或安装与业务无关的其他软件、上网下载软件、玩电脑游戏等，使系统感染病毒并导致正常工作无法进行;</w:t>
            </w:r>
          </w:p>
          <w:p>
            <w:pPr>
              <w:widowControl/>
              <w:numPr>
                <w:ilvl w:val="2"/>
                <w:numId w:val="14"/>
              </w:numPr>
              <w:spacing w:line="360" w:lineRule="auto"/>
              <w:jc w:val="left"/>
              <w:rPr>
                <w:rFonts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甲方人员擅自变更硬件、软件配置;</w:t>
            </w:r>
          </w:p>
          <w:p>
            <w:pPr>
              <w:widowControl/>
              <w:numPr>
                <w:ilvl w:val="2"/>
                <w:numId w:val="14"/>
              </w:numPr>
              <w:spacing w:line="360" w:lineRule="auto"/>
              <w:ind w:left="0" w:leftChars="0" w:firstLine="402" w:firstLineChars="0"/>
              <w:jc w:val="left"/>
              <w:rPr>
                <w:rFonts w:hint="eastAsia" w:ascii="宋体" w:hAnsi="宋体" w:cs="宋体"/>
                <w:kern w:val="0"/>
                <w:szCs w:val="21"/>
              </w:rPr>
            </w:pPr>
            <w:r>
              <w:rPr>
                <w:rFonts w:hint="eastAsia" w:asciiTheme="majorEastAsia" w:hAnsiTheme="majorEastAsia" w:eastAsiaTheme="majorEastAsia" w:cstheme="majorEastAsia"/>
                <w:kern w:val="0"/>
                <w:sz w:val="21"/>
                <w:szCs w:val="21"/>
                <w:lang w:bidi="ar"/>
              </w:rPr>
              <w:t>不可抗拒力造成的系统故障。</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D6122"/>
    <w:multiLevelType w:val="multilevel"/>
    <w:tmpl w:val="89AD61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930198C9"/>
    <w:multiLevelType w:val="multilevel"/>
    <w:tmpl w:val="930198C9"/>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C6F518D7"/>
    <w:multiLevelType w:val="multilevel"/>
    <w:tmpl w:val="C6F518D7"/>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D06CD4BF"/>
    <w:multiLevelType w:val="singleLevel"/>
    <w:tmpl w:val="D06CD4BF"/>
    <w:lvl w:ilvl="0" w:tentative="0">
      <w:start w:val="1"/>
      <w:numFmt w:val="chineseCounting"/>
      <w:suff w:val="nothing"/>
      <w:lvlText w:val="（%1）"/>
      <w:lvlJc w:val="left"/>
      <w:pPr>
        <w:ind w:left="0" w:firstLine="420"/>
      </w:pPr>
      <w:rPr>
        <w:rFonts w:hint="eastAsia"/>
      </w:rPr>
    </w:lvl>
  </w:abstractNum>
  <w:abstractNum w:abstractNumId="4">
    <w:nsid w:val="E15B5632"/>
    <w:multiLevelType w:val="multilevel"/>
    <w:tmpl w:val="E15B563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13077A16"/>
    <w:multiLevelType w:val="multilevel"/>
    <w:tmpl w:val="13077A16"/>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176C764F"/>
    <w:multiLevelType w:val="singleLevel"/>
    <w:tmpl w:val="176C764F"/>
    <w:lvl w:ilvl="0" w:tentative="0">
      <w:start w:val="5"/>
      <w:numFmt w:val="chineseCounting"/>
      <w:suff w:val="nothing"/>
      <w:lvlText w:val="%1、"/>
      <w:lvlJc w:val="left"/>
      <w:rPr>
        <w:rFonts w:hint="eastAsia"/>
      </w:rPr>
    </w:lvl>
  </w:abstractNum>
  <w:abstractNum w:abstractNumId="7">
    <w:nsid w:val="32E505D6"/>
    <w:multiLevelType w:val="multilevel"/>
    <w:tmpl w:val="32E505D6"/>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3644A16C"/>
    <w:multiLevelType w:val="multilevel"/>
    <w:tmpl w:val="3644A16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5BB5E092"/>
    <w:multiLevelType w:val="multilevel"/>
    <w:tmpl w:val="5BB5E09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5F1416EC"/>
    <w:multiLevelType w:val="multilevel"/>
    <w:tmpl w:val="5F1416E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64CDD5B8"/>
    <w:multiLevelType w:val="multilevel"/>
    <w:tmpl w:val="64CDD5B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72B7E948"/>
    <w:multiLevelType w:val="multilevel"/>
    <w:tmpl w:val="72B7E94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6"/>
  </w:num>
  <w:num w:numId="2">
    <w:abstractNumId w:val="1"/>
  </w:num>
  <w:num w:numId="3">
    <w:abstractNumId w:val="5"/>
  </w:num>
  <w:num w:numId="4">
    <w:abstractNumId w:val="13"/>
  </w:num>
  <w:num w:numId="5">
    <w:abstractNumId w:val="4"/>
  </w:num>
  <w:num w:numId="6">
    <w:abstractNumId w:val="10"/>
  </w:num>
  <w:num w:numId="7">
    <w:abstractNumId w:val="3"/>
  </w:num>
  <w:num w:numId="8">
    <w:abstractNumId w:val="12"/>
  </w:num>
  <w:num w:numId="9">
    <w:abstractNumId w:val="9"/>
  </w:num>
  <w:num w:numId="10">
    <w:abstractNumId w:val="8"/>
  </w:num>
  <w:num w:numId="11">
    <w:abstractNumId w:val="2"/>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40786146"/>
    <w:rsid w:val="41F82BFF"/>
    <w:rsid w:val="42954217"/>
    <w:rsid w:val="435D7B9E"/>
    <w:rsid w:val="44DC5C91"/>
    <w:rsid w:val="48B869E3"/>
    <w:rsid w:val="49283978"/>
    <w:rsid w:val="4AC3598A"/>
    <w:rsid w:val="4B7021FD"/>
    <w:rsid w:val="4C134D64"/>
    <w:rsid w:val="4F7B0D68"/>
    <w:rsid w:val="508B4EF2"/>
    <w:rsid w:val="541325BE"/>
    <w:rsid w:val="5511346F"/>
    <w:rsid w:val="55D76AD1"/>
    <w:rsid w:val="58B018A6"/>
    <w:rsid w:val="5A52292D"/>
    <w:rsid w:val="5BB74793"/>
    <w:rsid w:val="5BE6321A"/>
    <w:rsid w:val="5CD56B1E"/>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47133B"/>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7089</Words>
  <Characters>7439</Characters>
  <Lines>32</Lines>
  <Paragraphs>9</Paragraphs>
  <TotalTime>4</TotalTime>
  <ScaleCrop>false</ScaleCrop>
  <LinksUpToDate>false</LinksUpToDate>
  <CharactersWithSpaces>7924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2024-06-21T03:41:08Z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