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firstLine="2168" w:firstLineChars="600"/>
        <w:rPr>
          <w:rFonts w:hint="eastAsia" w:ascii="宋体" w:hAnsi="宋体" w:eastAsia="宋体" w:cs="宋体"/>
          <w:b/>
          <w:bCs w:val="0"/>
          <w:sz w:val="36"/>
          <w:szCs w:val="36"/>
          <w:lang w:val="en-US" w:eastAsia="zh-CN"/>
        </w:rPr>
      </w:pPr>
      <w:r>
        <w:rPr>
          <w:rFonts w:hint="eastAsia" w:ascii="宋体" w:hAnsi="宋体"/>
          <w:b/>
          <w:sz w:val="36"/>
          <w:szCs w:val="36"/>
        </w:rPr>
        <w:t>项目名称</w:t>
      </w:r>
      <w:r>
        <w:rPr>
          <w:rFonts w:hint="eastAsia" w:ascii="宋体" w:hAnsi="宋体" w:eastAsia="宋体" w:cs="宋体"/>
          <w:b/>
          <w:bCs w:val="0"/>
          <w:sz w:val="36"/>
          <w:szCs w:val="36"/>
        </w:rPr>
        <w:t>：2024年报废资产评估服务</w:t>
      </w:r>
    </w:p>
    <w:p>
      <w:pPr>
        <w:spacing w:line="560" w:lineRule="exact"/>
        <w:ind w:firstLine="2168" w:firstLineChars="600"/>
        <w:rPr>
          <w:rFonts w:hint="eastAsia" w:ascii="宋体" w:hAnsi="宋体" w:eastAsia="宋体"/>
          <w:b/>
          <w:sz w:val="36"/>
          <w:szCs w:val="36"/>
          <w:lang w:val="en-US" w:eastAsia="zh-CN"/>
        </w:rPr>
      </w:pPr>
      <w:r>
        <w:rPr>
          <w:rFonts w:hint="eastAsia" w:ascii="宋体" w:hAnsi="宋体"/>
          <w:b/>
          <w:sz w:val="36"/>
          <w:szCs w:val="36"/>
        </w:rPr>
        <w:t>项目编号：FWJJ-2024-01</w:t>
      </w:r>
      <w:r>
        <w:rPr>
          <w:rFonts w:hint="eastAsia" w:ascii="宋体" w:hAnsi="宋体"/>
          <w:b/>
          <w:sz w:val="36"/>
          <w:szCs w:val="36"/>
          <w:lang w:val="en-US" w:eastAsia="zh-CN"/>
        </w:rPr>
        <w:t>8</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22"/>
        <w:gridCol w:w="29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48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1731"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205"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 w:val="0"/>
                <w:bCs/>
                <w:sz w:val="21"/>
                <w:szCs w:val="21"/>
              </w:rPr>
            </w:pPr>
            <w:r>
              <w:rPr>
                <w:rFonts w:hint="eastAsia" w:ascii="宋体" w:hAnsi="宋体" w:cs="宋体"/>
                <w:b w:val="0"/>
                <w:bCs/>
                <w:sz w:val="21"/>
                <w:szCs w:val="21"/>
              </w:rPr>
              <w:t>1</w:t>
            </w:r>
          </w:p>
        </w:tc>
        <w:tc>
          <w:tcPr>
            <w:tcW w:w="1480"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cs="宋体"/>
                <w:b w:val="0"/>
                <w:bCs/>
                <w:sz w:val="21"/>
                <w:szCs w:val="21"/>
              </w:rPr>
              <w:t>FWJJ-2024-01</w:t>
            </w:r>
            <w:r>
              <w:rPr>
                <w:rFonts w:hint="eastAsia" w:ascii="宋体" w:hAnsi="宋体" w:cs="宋体"/>
                <w:b w:val="0"/>
                <w:bCs/>
                <w:sz w:val="21"/>
                <w:szCs w:val="21"/>
                <w:lang w:val="en-US" w:eastAsia="zh-CN"/>
              </w:rPr>
              <w:t>8</w:t>
            </w:r>
          </w:p>
        </w:tc>
        <w:tc>
          <w:tcPr>
            <w:tcW w:w="1731" w:type="pct"/>
            <w:noWrap w:val="0"/>
            <w:vAlign w:val="center"/>
          </w:tcPr>
          <w:p>
            <w:pPr>
              <w:jc w:val="center"/>
              <w:rPr>
                <w:rFonts w:ascii="宋体" w:hAnsi="宋体" w:cs="宋体"/>
                <w:b w:val="0"/>
                <w:bCs/>
                <w:sz w:val="21"/>
                <w:szCs w:val="21"/>
              </w:rPr>
            </w:pPr>
            <w:r>
              <w:rPr>
                <w:rFonts w:hint="eastAsia" w:ascii="宋体" w:hAnsi="宋体" w:eastAsia="宋体" w:cs="宋体"/>
                <w:b w:val="0"/>
                <w:bCs/>
                <w:sz w:val="21"/>
                <w:szCs w:val="21"/>
              </w:rPr>
              <w:t>2024年报废资产评估服务</w:t>
            </w:r>
          </w:p>
        </w:tc>
        <w:tc>
          <w:tcPr>
            <w:tcW w:w="1205"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45000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一</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按附件2目录编页码装订，</w:t>
      </w:r>
      <w:r>
        <w:rPr>
          <w:rFonts w:hint="eastAsia" w:ascii="仿宋_GB2312" w:hAnsi="宋体" w:eastAsia="仿宋_GB2312" w:cs="宋体"/>
          <w:sz w:val="24"/>
        </w:rPr>
        <w:t>装订成册后，用文件袋密封并在封套的封口处加盖单位公章投递至</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w:t>
      </w:r>
      <w:r>
        <w:rPr>
          <w:rFonts w:hint="eastAsia" w:ascii="仿宋_GB2312" w:hAnsi="宋体" w:eastAsia="仿宋_GB2312" w:cs="宋体"/>
          <w:sz w:val="24"/>
          <w:lang w:val="en-US" w:eastAsia="zh-CN"/>
        </w:rPr>
        <w:t>(</w:t>
      </w:r>
      <w:r>
        <w:rPr>
          <w:rFonts w:ascii="仿宋_GB2312" w:hAnsi="宋体" w:eastAsia="仿宋_GB2312" w:cs="仿宋_GB2312"/>
          <w:i w:val="0"/>
          <w:iCs w:val="0"/>
          <w:caps w:val="0"/>
          <w:color w:val="333333"/>
          <w:spacing w:val="0"/>
          <w:sz w:val="24"/>
          <w:szCs w:val="24"/>
        </w:rPr>
        <w:t>竞价单位无需到场</w:t>
      </w:r>
      <w:r>
        <w:rPr>
          <w:rFonts w:hint="eastAsia" w:ascii="仿宋_GB2312" w:hAnsi="宋体" w:eastAsia="仿宋_GB2312" w:cs="宋体"/>
          <w:sz w:val="24"/>
          <w:lang w:val="en-US" w:eastAsia="zh-CN"/>
        </w:rPr>
        <w:t>)</w:t>
      </w:r>
    </w:p>
    <w:p>
      <w:pPr>
        <w:spacing w:line="440" w:lineRule="exact"/>
        <w:ind w:firstLine="480" w:firstLineChars="200"/>
        <w:rPr>
          <w:rFonts w:hint="default" w:ascii="仿宋_GB2312" w:hAnsi="宋体" w:eastAsia="仿宋_GB2312" w:cs="宋体"/>
          <w:sz w:val="24"/>
          <w:lang w:val="en-US" w:eastAsia="zh-CN"/>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ascii="黑体" w:hAnsi="黑体" w:eastAsia="黑体" w:cs="宋体"/>
          <w:bCs/>
          <w:sz w:val="24"/>
        </w:rPr>
      </w:pPr>
      <w:r>
        <w:rPr>
          <w:rFonts w:hint="eastAsia" w:ascii="黑体" w:hAnsi="黑体" w:eastAsia="黑体" w:cs="宋体"/>
          <w:bCs/>
          <w:sz w:val="24"/>
        </w:rPr>
        <w:t>五、技术要求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26"/>
        <w:gridCol w:w="6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526"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286"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526"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286" w:type="dxa"/>
            <w:vAlign w:val="center"/>
          </w:tcPr>
          <w:p>
            <w:pPr>
              <w:tabs>
                <w:tab w:val="left" w:pos="0"/>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固定资产</w:t>
            </w:r>
            <w:r>
              <w:rPr>
                <w:rFonts w:hint="eastAsia" w:ascii="宋体" w:hAnsi="宋体" w:eastAsia="宋体" w:cs="宋体"/>
                <w:sz w:val="21"/>
                <w:szCs w:val="21"/>
                <w:lang w:eastAsia="zh-CN"/>
              </w:rPr>
              <w:t>评估</w:t>
            </w:r>
            <w:r>
              <w:rPr>
                <w:rFonts w:hint="eastAsia" w:ascii="宋体" w:hAnsi="宋体" w:eastAsia="宋体" w:cs="宋体"/>
                <w:sz w:val="21"/>
                <w:szCs w:val="21"/>
              </w:rPr>
              <w:t>项目</w:t>
            </w:r>
            <w:r>
              <w:rPr>
                <w:rFonts w:hint="eastAsia" w:ascii="宋体" w:hAnsi="宋体" w:eastAsia="宋体" w:cs="宋体"/>
                <w:sz w:val="21"/>
                <w:szCs w:val="21"/>
                <w:lang w:val="en-US" w:eastAsia="zh-CN"/>
              </w:rPr>
              <w:t>内容（包括但不限于）如下：</w:t>
            </w:r>
          </w:p>
          <w:p>
            <w:pPr>
              <w:tabs>
                <w:tab w:val="left" w:pos="0"/>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1.实地对2917</w:t>
            </w:r>
            <w:r>
              <w:rPr>
                <w:rFonts w:hint="eastAsia" w:ascii="宋体" w:hAnsi="宋体" w:eastAsia="宋体" w:cs="宋体"/>
                <w:sz w:val="21"/>
                <w:szCs w:val="21"/>
                <w:lang w:val="en" w:eastAsia="zh-CN"/>
              </w:rPr>
              <w:t>件固定资产（医</w:t>
            </w:r>
            <w:r>
              <w:rPr>
                <w:rFonts w:hint="eastAsia" w:ascii="宋体" w:hAnsi="宋体" w:eastAsia="宋体" w:cs="宋体"/>
                <w:sz w:val="21"/>
                <w:szCs w:val="21"/>
                <w:lang w:val="en-US" w:eastAsia="zh-CN"/>
              </w:rPr>
              <w:t>疗设备、电子设备、信息系统、家具等）进行逐一核对；</w:t>
            </w:r>
          </w:p>
          <w:p>
            <w:pPr>
              <w:tabs>
                <w:tab w:val="left" w:pos="0"/>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2.评估资产目前状态；</w:t>
            </w:r>
          </w:p>
          <w:p>
            <w:pPr>
              <w:tabs>
                <w:tab w:val="left" w:pos="0"/>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3.评估资产价值；</w:t>
            </w:r>
          </w:p>
          <w:p>
            <w:pPr>
              <w:tabs>
                <w:tab w:val="left" w:pos="0"/>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4.出具评估报告，报告需体现每台资产使用状态、资产价格等表明资产是否可进行报废的结果。</w:t>
            </w:r>
          </w:p>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526"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286" w:type="dxa"/>
            <w:vAlign w:val="center"/>
          </w:tcPr>
          <w:p>
            <w:pPr>
              <w:rPr>
                <w:rFonts w:hint="default" w:ascii="宋体" w:hAnsi="宋体" w:eastAsiaTheme="minorEastAsia"/>
                <w:b/>
                <w:szCs w:val="21"/>
                <w:lang w:val="en-US" w:eastAsia="zh-CN"/>
              </w:rPr>
            </w:pPr>
            <w:r>
              <w:rPr>
                <w:rFonts w:hint="eastAsia" w:ascii="宋体" w:hAnsi="宋体"/>
                <w:b w:val="0"/>
                <w:bCs/>
                <w:szCs w:val="21"/>
                <w:lang w:val="en-US" w:eastAsia="zh-CN"/>
              </w:rPr>
              <w:t>2917件报废资产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526"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286" w:type="dxa"/>
            <w:vAlign w:val="center"/>
          </w:tcPr>
          <w:p>
            <w:pPr>
              <w:rPr>
                <w:rFonts w:hint="default" w:ascii="宋体" w:hAnsi="宋体" w:eastAsiaTheme="minorEastAsia"/>
                <w:b/>
                <w:szCs w:val="21"/>
                <w:lang w:val="en-US" w:eastAsia="zh-CN"/>
              </w:rPr>
            </w:pPr>
            <w:r>
              <w:rPr>
                <w:rFonts w:hint="eastAsia" w:ascii="宋体" w:hAnsi="宋体"/>
                <w:b w:val="0"/>
                <w:bCs/>
                <w:szCs w:val="21"/>
                <w:lang w:val="en-US" w:eastAsia="zh-CN"/>
              </w:rPr>
              <w:t>评估报废资产情况及报废残值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4</w:t>
            </w:r>
          </w:p>
        </w:tc>
        <w:tc>
          <w:tcPr>
            <w:tcW w:w="1526" w:type="dxa"/>
            <w:vAlign w:val="center"/>
          </w:tcPr>
          <w:p>
            <w:pPr>
              <w:jc w:val="center"/>
              <w:rPr>
                <w:rFonts w:ascii="宋体" w:hAnsi="宋体"/>
                <w:b/>
                <w:bCs/>
                <w:szCs w:val="21"/>
              </w:rPr>
            </w:pPr>
            <w:r>
              <w:rPr>
                <w:rFonts w:hint="eastAsia" w:ascii="宋体" w:hAnsi="宋体"/>
                <w:b/>
                <w:bCs/>
                <w:szCs w:val="21"/>
              </w:rPr>
              <w:t>人员要求</w:t>
            </w:r>
          </w:p>
        </w:tc>
        <w:tc>
          <w:tcPr>
            <w:tcW w:w="6286" w:type="dxa"/>
            <w:vAlign w:val="center"/>
          </w:tcPr>
          <w:p>
            <w:pPr>
              <w:rPr>
                <w:rFonts w:hint="eastAsia" w:ascii="宋体" w:hAnsi="宋体" w:cs="宋体"/>
                <w:kern w:val="0"/>
                <w:szCs w:val="21"/>
                <w:lang w:eastAsia="zh-CN"/>
              </w:rPr>
            </w:pPr>
            <w:r>
              <w:rPr>
                <w:rFonts w:hint="eastAsia" w:ascii="宋体" w:hAnsi="宋体" w:cs="宋体"/>
                <w:kern w:val="0"/>
                <w:szCs w:val="21"/>
              </w:rPr>
              <w:t>1.开展本项目团队人员必须为投标人本单位工作人员</w:t>
            </w:r>
            <w:r>
              <w:rPr>
                <w:rFonts w:hint="eastAsia" w:ascii="宋体" w:hAnsi="宋体" w:cs="宋体"/>
                <w:kern w:val="0"/>
                <w:szCs w:val="21"/>
                <w:lang w:eastAsia="zh-CN"/>
              </w:rPr>
              <w:t>。</w:t>
            </w:r>
          </w:p>
          <w:p>
            <w:pPr>
              <w:rPr>
                <w:rFonts w:hint="default" w:ascii="宋体" w:hAnsi="宋体" w:eastAsiaTheme="minorEastAsia"/>
                <w:b/>
                <w:szCs w:val="21"/>
                <w:lang w:val="en-US" w:eastAsia="zh-CN"/>
              </w:rPr>
            </w:pPr>
            <w:r>
              <w:rPr>
                <w:rFonts w:hint="eastAsia" w:ascii="宋体" w:hAnsi="宋体" w:cs="宋体"/>
                <w:kern w:val="0"/>
                <w:szCs w:val="21"/>
              </w:rPr>
              <w:t>2.投标人须承诺至少在本项目中投入</w:t>
            </w:r>
            <w:r>
              <w:rPr>
                <w:rFonts w:hint="eastAsia" w:ascii="宋体" w:hAnsi="宋体" w:cs="宋体"/>
                <w:kern w:val="0"/>
                <w:szCs w:val="21"/>
                <w:lang w:val="en-US" w:eastAsia="zh-CN"/>
              </w:rPr>
              <w:t>2名</w:t>
            </w:r>
            <w:r>
              <w:rPr>
                <w:rFonts w:hint="eastAsia" w:ascii="宋体" w:hAnsi="宋体"/>
                <w:b w:val="0"/>
                <w:bCs/>
                <w:szCs w:val="21"/>
                <w:lang w:val="en-US" w:eastAsia="zh-CN"/>
              </w:rPr>
              <w:t>以上资产评估师。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1526" w:type="dxa"/>
            <w:vAlign w:val="center"/>
          </w:tcPr>
          <w:p>
            <w:pPr>
              <w:jc w:val="center"/>
              <w:rPr>
                <w:rFonts w:ascii="宋体" w:hAnsi="宋体"/>
                <w:b/>
                <w:szCs w:val="21"/>
              </w:rPr>
            </w:pPr>
            <w:r>
              <w:rPr>
                <w:rFonts w:hint="eastAsia" w:ascii="宋体" w:hAnsi="宋体" w:cs="宋体"/>
                <w:b/>
                <w:kern w:val="0"/>
                <w:szCs w:val="21"/>
              </w:rPr>
              <w:t>成果要求</w:t>
            </w:r>
          </w:p>
        </w:tc>
        <w:tc>
          <w:tcPr>
            <w:tcW w:w="6286" w:type="dxa"/>
            <w:vAlign w:val="center"/>
          </w:tcPr>
          <w:p>
            <w:pPr>
              <w:rPr>
                <w:rFonts w:hint="default" w:ascii="宋体" w:hAnsi="宋体" w:eastAsiaTheme="minorEastAsia"/>
                <w:b w:val="0"/>
                <w:bCs/>
                <w:szCs w:val="21"/>
                <w:lang w:val="en-US" w:eastAsia="zh-CN"/>
              </w:rPr>
            </w:pPr>
            <w:r>
              <w:rPr>
                <w:rFonts w:hint="eastAsia" w:ascii="宋体" w:hAnsi="宋体"/>
                <w:b w:val="0"/>
                <w:bCs/>
                <w:szCs w:val="21"/>
                <w:lang w:val="en-US" w:eastAsia="zh-CN"/>
              </w:rPr>
              <w:t>出具资产评估报告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1526" w:type="dxa"/>
            <w:vAlign w:val="center"/>
          </w:tcPr>
          <w:p>
            <w:pPr>
              <w:jc w:val="center"/>
              <w:rPr>
                <w:rFonts w:ascii="宋体" w:hAnsi="宋体"/>
                <w:b/>
                <w:szCs w:val="21"/>
              </w:rPr>
            </w:pPr>
            <w:r>
              <w:rPr>
                <w:rFonts w:hint="eastAsia" w:ascii="宋体" w:hAnsi="宋体" w:cs="宋体"/>
                <w:b/>
                <w:kern w:val="0"/>
                <w:szCs w:val="21"/>
              </w:rPr>
              <w:t>其他要求</w:t>
            </w:r>
          </w:p>
        </w:tc>
        <w:tc>
          <w:tcPr>
            <w:tcW w:w="6286" w:type="dxa"/>
            <w:vAlign w:val="center"/>
          </w:tcPr>
          <w:p>
            <w:pPr>
              <w:rPr>
                <w:rFonts w:ascii="宋体" w:hAnsi="宋体"/>
                <w:b/>
                <w:szCs w:val="21"/>
              </w:rPr>
            </w:pPr>
            <w:r>
              <w:rPr>
                <w:rFonts w:hint="eastAsia" w:ascii="宋体" w:hAnsi="宋体"/>
                <w:b w:val="0"/>
                <w:bCs/>
                <w:szCs w:val="21"/>
                <w:lang w:val="en-US" w:eastAsia="zh-CN"/>
              </w:rPr>
              <w:t>以上评估不可使用抽检方式出具结果，需逐个评估。</w:t>
            </w:r>
          </w:p>
        </w:tc>
      </w:tr>
    </w:tbl>
    <w:p>
      <w:pPr>
        <w:spacing w:line="560" w:lineRule="exact"/>
        <w:rPr>
          <w:rFonts w:hint="eastAsia" w:ascii="黑体" w:hAnsi="黑体" w:eastAsia="黑体" w:cs="宋体"/>
          <w:bCs/>
          <w:sz w:val="24"/>
        </w:rPr>
      </w:pPr>
    </w:p>
    <w:p>
      <w:pPr>
        <w:outlineLvl w:val="0"/>
      </w:pPr>
    </w:p>
    <w:p>
      <w:pPr>
        <w:spacing w:line="560" w:lineRule="exact"/>
        <w:ind w:firstLine="420" w:firstLineChars="175"/>
        <w:rPr>
          <w:rFonts w:ascii="宋体" w:hAnsi="宋体"/>
          <w:b/>
          <w:bCs/>
          <w:szCs w:val="21"/>
        </w:rPr>
      </w:pPr>
      <w:r>
        <w:rPr>
          <w:rFonts w:ascii="黑体" w:hAnsi="黑体" w:eastAsia="黑体" w:cs="宋体"/>
          <w:bCs/>
          <w:sz w:val="24"/>
        </w:rPr>
        <w:t>六、商务要求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60"/>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560"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252"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560"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252"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b/>
                <w:szCs w:val="21"/>
              </w:rPr>
            </w:pPr>
            <w:r>
              <w:rPr>
                <w:rFonts w:hint="eastAsia" w:ascii="宋体" w:hAnsi="宋体"/>
                <w:bCs/>
                <w:szCs w:val="21"/>
              </w:rPr>
              <w:t>本项目服务费采用包干制，应包括服务成本、法定税费和企业利润。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560" w:type="dxa"/>
            <w:vAlign w:val="center"/>
          </w:tcPr>
          <w:p>
            <w:pPr>
              <w:jc w:val="center"/>
              <w:rPr>
                <w:rFonts w:ascii="宋体" w:hAnsi="宋体"/>
                <w:b/>
                <w:szCs w:val="21"/>
              </w:rPr>
            </w:pPr>
            <w:r>
              <w:rPr>
                <w:rFonts w:hint="eastAsia" w:ascii="宋体" w:hAnsi="宋体" w:cs="宋体"/>
                <w:b/>
                <w:kern w:val="0"/>
                <w:szCs w:val="21"/>
              </w:rPr>
              <w:t>付款方式</w:t>
            </w:r>
          </w:p>
        </w:tc>
        <w:tc>
          <w:tcPr>
            <w:tcW w:w="6252" w:type="dxa"/>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0  </w:t>
            </w:r>
            <w:r>
              <w:rPr>
                <w:rFonts w:ascii="宋体" w:hAnsi="宋体" w:cs="宋体"/>
                <w:kern w:val="0"/>
                <w:szCs w:val="21"/>
                <w:u w:val="single"/>
              </w:rPr>
              <w:t xml:space="preserve"> </w:t>
            </w:r>
            <w:r>
              <w:rPr>
                <w:rFonts w:hint="eastAsia" w:ascii="宋体" w:hAnsi="宋体" w:cs="宋体"/>
                <w:kern w:val="0"/>
                <w:szCs w:val="21"/>
              </w:rPr>
              <w:t>%的款项；</w:t>
            </w:r>
          </w:p>
          <w:p>
            <w:pPr>
              <w:rPr>
                <w:rFonts w:ascii="宋体" w:hAnsi="宋体" w:cs="宋体"/>
                <w:kern w:val="0"/>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ascii="宋体" w:hAnsi="宋体" w:cs="宋体"/>
                <w:kern w:val="0"/>
                <w:szCs w:val="21"/>
                <w:u w:val="single"/>
              </w:rPr>
              <w:t xml:space="preserve"> </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560" w:type="dxa"/>
            <w:vAlign w:val="center"/>
          </w:tcPr>
          <w:p>
            <w:pPr>
              <w:jc w:val="center"/>
              <w:rPr>
                <w:rFonts w:ascii="宋体" w:hAnsi="宋体"/>
                <w:b/>
                <w:szCs w:val="21"/>
              </w:rPr>
            </w:pPr>
            <w:r>
              <w:rPr>
                <w:rFonts w:hint="eastAsia" w:ascii="宋体" w:hAnsi="宋体" w:cs="宋体"/>
                <w:b/>
                <w:kern w:val="0"/>
                <w:szCs w:val="21"/>
              </w:rPr>
              <w:t>服务地点</w:t>
            </w:r>
          </w:p>
        </w:tc>
        <w:tc>
          <w:tcPr>
            <w:tcW w:w="6252" w:type="dxa"/>
            <w:vAlign w:val="center"/>
          </w:tcPr>
          <w:p>
            <w:pP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深圳市光明区人民医院东院区、西院区，及各社康中心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560" w:type="dxa"/>
            <w:vAlign w:val="center"/>
          </w:tcPr>
          <w:p>
            <w:pPr>
              <w:jc w:val="center"/>
              <w:rPr>
                <w:rFonts w:ascii="宋体" w:hAnsi="宋体"/>
                <w:b/>
                <w:bCs/>
                <w:szCs w:val="21"/>
              </w:rPr>
            </w:pPr>
            <w:r>
              <w:rPr>
                <w:rFonts w:hint="eastAsia" w:ascii="宋体" w:hAnsi="宋体" w:cs="宋体"/>
                <w:b/>
                <w:kern w:val="0"/>
                <w:szCs w:val="21"/>
              </w:rPr>
              <w:t>服务期限</w:t>
            </w:r>
          </w:p>
        </w:tc>
        <w:tc>
          <w:tcPr>
            <w:tcW w:w="6252" w:type="dxa"/>
            <w:vAlign w:val="center"/>
          </w:tcPr>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自合同签订之日起</w:t>
            </w:r>
            <w:r>
              <w:rPr>
                <w:rFonts w:hint="eastAsia" w:ascii="宋体" w:hAnsi="宋体" w:eastAsia="宋体" w:cs="宋体"/>
                <w:color w:val="000000" w:themeColor="text1"/>
                <w:kern w:val="0"/>
                <w:sz w:val="21"/>
                <w:szCs w:val="21"/>
                <w:lang w:val="en-US" w:eastAsia="zh-CN"/>
                <w14:textFill>
                  <w14:solidFill>
                    <w14:schemeClr w14:val="tx1"/>
                  </w14:solidFill>
                </w14:textFill>
              </w:rPr>
              <w:t>一个月内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560" w:type="dxa"/>
            <w:vAlign w:val="center"/>
          </w:tcPr>
          <w:p>
            <w:pPr>
              <w:jc w:val="center"/>
              <w:rPr>
                <w:rFonts w:ascii="宋体" w:hAnsi="宋体"/>
                <w:b/>
                <w:szCs w:val="21"/>
              </w:rPr>
            </w:pPr>
            <w:r>
              <w:rPr>
                <w:rFonts w:hint="eastAsia" w:ascii="宋体" w:hAnsi="宋体" w:cs="宋体"/>
                <w:b/>
                <w:kern w:val="0"/>
                <w:szCs w:val="21"/>
              </w:rPr>
              <w:t>售后服务要求</w:t>
            </w:r>
          </w:p>
        </w:tc>
        <w:tc>
          <w:tcPr>
            <w:tcW w:w="6252" w:type="dxa"/>
            <w:vAlign w:val="center"/>
          </w:tcPr>
          <w:p>
            <w:pP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2小时内响应现场交流、咨询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560" w:type="dxa"/>
            <w:vAlign w:val="center"/>
          </w:tcPr>
          <w:p>
            <w:pPr>
              <w:jc w:val="center"/>
              <w:rPr>
                <w:rFonts w:ascii="宋体" w:hAnsi="宋体"/>
                <w:b/>
                <w:szCs w:val="21"/>
              </w:rPr>
            </w:pPr>
            <w:r>
              <w:rPr>
                <w:rFonts w:hint="eastAsia" w:ascii="宋体" w:hAnsi="宋体" w:cs="宋体"/>
                <w:b/>
                <w:kern w:val="0"/>
                <w:szCs w:val="21"/>
              </w:rPr>
              <w:t>违约金</w:t>
            </w:r>
          </w:p>
        </w:tc>
        <w:tc>
          <w:tcPr>
            <w:tcW w:w="6252" w:type="dxa"/>
            <w:vAlign w:val="center"/>
          </w:tcPr>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违约金为占中标价的20%（医院规定不得低于20%）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560" w:type="dxa"/>
            <w:vAlign w:val="center"/>
          </w:tcPr>
          <w:p>
            <w:pPr>
              <w:jc w:val="center"/>
              <w:rPr>
                <w:rFonts w:ascii="宋体" w:hAnsi="宋体"/>
                <w:b/>
                <w:szCs w:val="21"/>
              </w:rPr>
            </w:pPr>
            <w:r>
              <w:rPr>
                <w:rFonts w:hint="eastAsia" w:ascii="宋体" w:hAnsi="宋体" w:cs="宋体"/>
                <w:b/>
                <w:kern w:val="0"/>
                <w:szCs w:val="21"/>
              </w:rPr>
              <w:t>违约责任</w:t>
            </w:r>
          </w:p>
        </w:tc>
        <w:tc>
          <w:tcPr>
            <w:tcW w:w="6252" w:type="dxa"/>
            <w:vAlign w:val="center"/>
          </w:tcPr>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根据项目要求自行设定</w:t>
            </w:r>
          </w:p>
        </w:tc>
      </w:tr>
    </w:tbl>
    <w:p>
      <w:pPr>
        <w:spacing w:line="560" w:lineRule="exact"/>
        <w:ind w:firstLine="369" w:firstLine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5</w:t>
      </w:r>
      <w:r>
        <w:rPr>
          <w:rFonts w:hint="eastAsia" w:ascii="仿宋_GB2312" w:hAnsi="宋体" w:eastAsia="仿宋_GB2312" w:cs="宋体"/>
          <w:sz w:val="24"/>
        </w:rPr>
        <w:t>月</w:t>
      </w:r>
      <w:r>
        <w:rPr>
          <w:rFonts w:hint="eastAsia" w:ascii="仿宋_GB2312" w:hAnsi="宋体" w:eastAsia="仿宋_GB2312" w:cs="宋体"/>
          <w:sz w:val="24"/>
          <w:lang w:val="en-US" w:eastAsia="zh-CN"/>
        </w:rPr>
        <w:t>29</w:t>
      </w:r>
      <w:r>
        <w:rPr>
          <w:rFonts w:hint="eastAsia" w:ascii="仿宋_GB2312" w:hAnsi="宋体" w:eastAsia="仿宋_GB2312" w:cs="宋体"/>
          <w:sz w:val="24"/>
        </w:rPr>
        <w:t>日</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老师，联系电话0755-27165666-89411）</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eastAsia="黑体"/>
          <w:b w:val="0"/>
          <w:kern w:val="1"/>
          <w:sz w:val="44"/>
        </w:rPr>
      </w:pPr>
      <w:r>
        <w:rPr>
          <w:rFonts w:hint="eastAsia"/>
          <w:kern w:val="1"/>
        </w:rPr>
        <w:t>报价</w:t>
      </w:r>
      <w:r>
        <w:rPr>
          <w:kern w:val="1"/>
        </w:rPr>
        <w:t>一览表</w:t>
      </w:r>
    </w:p>
    <w:p>
      <w:pPr>
        <w:tabs>
          <w:tab w:val="left" w:pos="8080"/>
        </w:tabs>
        <w:ind w:right="99" w:rightChars="47"/>
        <w:jc w:val="right"/>
        <w:rPr>
          <w:rFonts w:ascii="仿宋_GB2312" w:eastAsia="仿宋_GB2312"/>
        </w:rPr>
      </w:pPr>
      <w:r>
        <w:rPr>
          <w:rFonts w:hint="eastAsia" w:ascii="仿宋_GB2312" w:eastAsia="仿宋_GB2312"/>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368"/>
        <w:gridCol w:w="2700"/>
        <w:gridCol w:w="2174"/>
        <w:gridCol w:w="2146"/>
        <w:gridCol w:w="1260"/>
      </w:tblGrid>
      <w:tr>
        <w:tblPrEx>
          <w:tblCellMar>
            <w:top w:w="0" w:type="dxa"/>
            <w:left w:w="108" w:type="dxa"/>
            <w:bottom w:w="0" w:type="dxa"/>
            <w:right w:w="108" w:type="dxa"/>
          </w:tblCellMar>
        </w:tblPrEx>
        <w:trPr>
          <w:cantSplit/>
          <w:trHeight w:val="720" w:hRule="atLeast"/>
          <w:jc w:val="center"/>
        </w:trPr>
        <w:tc>
          <w:tcPr>
            <w:tcW w:w="136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2146"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服务期限</w:t>
            </w:r>
          </w:p>
        </w:tc>
        <w:tc>
          <w:tcPr>
            <w:tcW w:w="1260"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6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2146" w:type="dxa"/>
            <w:tcBorders>
              <w:top w:val="single" w:color="000000" w:sz="4" w:space="0"/>
              <w:left w:val="single" w:color="000000" w:sz="4" w:space="0"/>
              <w:bottom w:val="double" w:color="000000" w:sz="4" w:space="0"/>
              <w:right w:val="single" w:color="000000" w:sz="4" w:space="0"/>
            </w:tcBorders>
            <w:noWrap w:val="0"/>
            <w:vAlign w:val="center"/>
          </w:tcPr>
          <w:p>
            <w:pPr>
              <w:jc w:val="center"/>
              <w:rPr>
                <w:rFonts w:ascii="仿宋_GB2312" w:eastAsia="仿宋_GB2312"/>
                <w:sz w:val="24"/>
              </w:rPr>
            </w:pPr>
          </w:p>
        </w:tc>
        <w:tc>
          <w:tcPr>
            <w:tcW w:w="1260"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1"/>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1"/>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1"/>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pStyle w:val="4"/>
        <w:spacing w:before="120" w:after="120"/>
        <w:rPr>
          <w:rFonts w:hint="eastAsia" w:ascii="仿宋_GB2312" w:hAnsi="宋体" w:eastAsia="仿宋_GB2312" w:cs="宋体"/>
          <w:b w:val="0"/>
          <w:bCs w:val="0"/>
          <w:kern w:val="1"/>
          <w:sz w:val="24"/>
          <w:szCs w:val="24"/>
          <w:lang w:val="en-US" w:eastAsia="zh-CN"/>
        </w:rPr>
      </w:pPr>
      <w:r>
        <w:rPr>
          <w:rFonts w:hint="eastAsia" w:ascii="仿宋_GB2312" w:hAnsi="宋体" w:eastAsia="仿宋_GB2312" w:cs="宋体"/>
          <w:b w:val="0"/>
          <w:bCs w:val="0"/>
          <w:kern w:val="1"/>
          <w:sz w:val="24"/>
          <w:szCs w:val="24"/>
        </w:rPr>
        <w:t>附件</w:t>
      </w:r>
      <w:r>
        <w:rPr>
          <w:rFonts w:hint="eastAsia" w:ascii="仿宋_GB2312" w:hAnsi="宋体" w:eastAsia="仿宋_GB2312" w:cs="宋体"/>
          <w:b w:val="0"/>
          <w:bCs w:val="0"/>
          <w:kern w:val="1"/>
          <w:sz w:val="24"/>
          <w:szCs w:val="24"/>
          <w:lang w:val="en-US" w:eastAsia="zh-CN"/>
        </w:rPr>
        <w:t>7</w:t>
      </w:r>
    </w:p>
    <w:p>
      <w:pPr>
        <w:ind w:firstLine="482"/>
        <w:jc w:val="center"/>
        <w:rPr>
          <w:rFonts w:ascii="宋体" w:hAnsi="宋体" w:cs="宋体"/>
          <w:b/>
          <w:kern w:val="1"/>
          <w:sz w:val="32"/>
          <w:szCs w:val="44"/>
        </w:rPr>
      </w:pPr>
      <w:r>
        <w:rPr>
          <w:rFonts w:hint="eastAsia" w:ascii="宋体" w:hAnsi="宋体" w:cs="宋体"/>
          <w:b/>
          <w:kern w:val="1"/>
          <w:sz w:val="32"/>
          <w:szCs w:val="44"/>
        </w:rPr>
        <w:t>技术参数及商务条款偏离表</w:t>
      </w:r>
    </w:p>
    <w:p>
      <w:pPr>
        <w:spacing w:line="360" w:lineRule="auto"/>
        <w:jc w:val="center"/>
        <w:rPr>
          <w:rFonts w:ascii="宋体" w:hAnsi="宋体"/>
          <w:b/>
          <w:sz w:val="24"/>
          <w:szCs w:val="44"/>
        </w:rPr>
      </w:pPr>
    </w:p>
    <w:p>
      <w:pPr>
        <w:spacing w:line="440" w:lineRule="exact"/>
        <w:ind w:firstLine="480" w:firstLineChars="200"/>
        <w:rPr>
          <w:rFonts w:ascii="仿宋_GB2312" w:hAnsi="宋体" w:eastAsia="仿宋_GB2312" w:cs="宋体"/>
          <w:sz w:val="24"/>
          <w:szCs w:val="28"/>
        </w:rPr>
      </w:pPr>
      <w:r>
        <w:rPr>
          <w:rFonts w:hint="eastAsia" w:ascii="仿宋_GB2312" w:hAnsi="宋体" w:eastAsia="仿宋_GB2312" w:cs="宋体"/>
          <w:sz w:val="24"/>
          <w:szCs w:val="28"/>
        </w:rPr>
        <w:t>说明：</w:t>
      </w:r>
      <w:r>
        <w:rPr>
          <w:rFonts w:hint="eastAsia" w:ascii="仿宋_GB2312" w:hAnsi="宋体" w:eastAsia="仿宋_GB2312" w:cs="宋体"/>
          <w:sz w:val="24"/>
          <w:szCs w:val="28"/>
        </w:rPr>
        <w:tab/>
      </w:r>
      <w:r>
        <w:rPr>
          <w:rFonts w:hint="eastAsia" w:ascii="仿宋_GB2312" w:hAnsi="宋体" w:eastAsia="仿宋_GB2312" w:cs="宋体"/>
          <w:sz w:val="24"/>
          <w:szCs w:val="28"/>
        </w:rPr>
        <w:t>供应商必须对应采购文件的“项目技术参数”及“商务条款”的内容逐条响应。如有缺漏，缺漏项视同不符合招标要求。</w:t>
      </w:r>
    </w:p>
    <w:p>
      <w:pPr>
        <w:spacing w:line="440" w:lineRule="exact"/>
        <w:ind w:firstLine="560" w:firstLineChars="200"/>
        <w:rPr>
          <w:rFonts w:hint="eastAsia" w:ascii="仿宋_GB2312" w:hAnsi="宋体" w:eastAsia="仿宋_GB2312" w:cs="宋体"/>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73"/>
        <w:gridCol w:w="2985"/>
        <w:gridCol w:w="2415"/>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序号</w:t>
            </w:r>
          </w:p>
        </w:tc>
        <w:tc>
          <w:tcPr>
            <w:tcW w:w="2273" w:type="dxa"/>
            <w:noWrap w:val="0"/>
            <w:vAlign w:val="center"/>
          </w:tcPr>
          <w:p>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采购规格/要求</w:t>
            </w:r>
          </w:p>
        </w:tc>
        <w:tc>
          <w:tcPr>
            <w:tcW w:w="2985" w:type="dxa"/>
            <w:noWrap w:val="0"/>
            <w:vAlign w:val="top"/>
          </w:tcPr>
          <w:p>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响应实际参数</w:t>
            </w:r>
          </w:p>
          <w:p>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(供应商应按响应实际提供的数据填写，不能照抄采购要求)</w:t>
            </w:r>
          </w:p>
        </w:tc>
        <w:tc>
          <w:tcPr>
            <w:tcW w:w="2415" w:type="dxa"/>
            <w:noWrap w:val="0"/>
            <w:vAlign w:val="center"/>
          </w:tcPr>
          <w:p>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是否偏离（无偏离/正偏离/负偏离）</w:t>
            </w:r>
          </w:p>
        </w:tc>
        <w:tc>
          <w:tcPr>
            <w:tcW w:w="1914" w:type="dxa"/>
            <w:noWrap w:val="0"/>
            <w:vAlign w:val="center"/>
          </w:tcPr>
          <w:p>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numPr>
                <w:ilvl w:val="0"/>
                <w:numId w:val="2"/>
              </w:numPr>
              <w:spacing w:line="360" w:lineRule="auto"/>
              <w:ind w:firstLineChars="0"/>
              <w:rPr>
                <w:rFonts w:ascii="宋体"/>
                <w:color w:val="000000"/>
              </w:rPr>
            </w:pP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pPr>
              <w:pStyle w:val="92"/>
              <w:spacing w:line="360" w:lineRule="auto"/>
              <w:ind w:firstLine="0" w:firstLineChars="0"/>
              <w:rPr>
                <w:rFonts w:ascii="宋体"/>
                <w:color w:val="000000"/>
              </w:rPr>
            </w:pPr>
            <w:r>
              <w:rPr>
                <w:rFonts w:ascii="宋体"/>
                <w:color w:val="000000"/>
              </w:rPr>
              <w:t>…</w:t>
            </w:r>
          </w:p>
        </w:tc>
        <w:tc>
          <w:tcPr>
            <w:tcW w:w="2273" w:type="dxa"/>
            <w:noWrap w:val="0"/>
            <w:vAlign w:val="top"/>
          </w:tcPr>
          <w:p>
            <w:pPr>
              <w:spacing w:line="360" w:lineRule="auto"/>
            </w:pPr>
          </w:p>
        </w:tc>
        <w:tc>
          <w:tcPr>
            <w:tcW w:w="2985" w:type="dxa"/>
            <w:noWrap w:val="0"/>
            <w:vAlign w:val="top"/>
          </w:tcPr>
          <w:p>
            <w:pPr>
              <w:spacing w:line="360" w:lineRule="auto"/>
            </w:pPr>
          </w:p>
        </w:tc>
        <w:tc>
          <w:tcPr>
            <w:tcW w:w="2415" w:type="dxa"/>
            <w:noWrap w:val="0"/>
            <w:vAlign w:val="center"/>
          </w:tcPr>
          <w:p>
            <w:pPr>
              <w:spacing w:line="360" w:lineRule="auto"/>
              <w:rPr>
                <w:rFonts w:ascii="宋体"/>
                <w:sz w:val="24"/>
              </w:rPr>
            </w:pPr>
          </w:p>
        </w:tc>
        <w:tc>
          <w:tcPr>
            <w:tcW w:w="1914" w:type="dxa"/>
            <w:noWrap w:val="0"/>
            <w:vAlign w:val="center"/>
          </w:tcPr>
          <w:p>
            <w:pPr>
              <w:spacing w:line="360" w:lineRule="auto"/>
              <w:rPr>
                <w:rFonts w:ascii="宋体"/>
                <w:sz w:val="24"/>
              </w:rPr>
            </w:pPr>
          </w:p>
        </w:tc>
      </w:tr>
    </w:tbl>
    <w:p>
      <w:pPr>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p>
    <w:p>
      <w:pPr>
        <w:rPr>
          <w:rFonts w:hint="eastAsia" w:ascii="宋体" w:hAnsi="宋体"/>
          <w:sz w:val="24"/>
        </w:rPr>
      </w:pPr>
    </w:p>
    <w:p>
      <w:pPr>
        <w:ind w:firstLine="6480" w:firstLineChars="2700"/>
        <w:rPr>
          <w:rFonts w:ascii="宋体" w:hAnsi="宋体"/>
          <w:sz w:val="24"/>
        </w:rPr>
      </w:pPr>
      <w:r>
        <w:rPr>
          <w:rFonts w:hint="eastAsia" w:ascii="宋体" w:hAnsi="宋体"/>
          <w:sz w:val="24"/>
        </w:rPr>
        <w:tab/>
      </w:r>
      <w:r>
        <w:rPr>
          <w:rFonts w:hint="eastAsia" w:ascii="宋体" w:hAnsi="宋体"/>
          <w:sz w:val="24"/>
        </w:rPr>
        <w:t>供应商授权代表签字：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（公章）</w:t>
      </w:r>
    </w:p>
    <w:p>
      <w:pPr>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日期：</w:t>
      </w:r>
    </w:p>
    <w:p>
      <w:pPr>
        <w:ind w:left="5760" w:hanging="5760" w:hangingChars="2400"/>
        <w:outlineLvl w:val="0"/>
        <w:rPr>
          <w:rFonts w:cs="宋体"/>
          <w:b/>
          <w:kern w:val="1"/>
          <w:sz w:val="24"/>
        </w:rPr>
      </w:pPr>
      <w:r>
        <w:rPr>
          <w:rFonts w:hint="eastAsia" w:ascii="宋体" w:hAnsi="宋体"/>
          <w:sz w:val="24"/>
        </w:rPr>
        <w:t xml:space="preserve">                                                        职务：</w:t>
      </w:r>
    </w:p>
    <w:p>
      <w:pPr>
        <w:spacing w:line="440" w:lineRule="exact"/>
        <w:jc w:val="left"/>
        <w:rPr>
          <w:rFonts w:hint="eastAsia" w:ascii="宋体" w:hAnsi="宋体" w:cs="宋体"/>
          <w:sz w:val="32"/>
          <w:szCs w:val="32"/>
        </w:rPr>
      </w:pPr>
      <w:bookmarkStart w:id="0" w:name="_GoBack"/>
      <w:bookmarkEnd w:id="0"/>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A5D0D"/>
    <w:multiLevelType w:val="multilevel"/>
    <w:tmpl w:val="2EAA5D0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646529F"/>
    <w:rsid w:val="07F10141"/>
    <w:rsid w:val="085166B6"/>
    <w:rsid w:val="0AEF0E22"/>
    <w:rsid w:val="0BE91440"/>
    <w:rsid w:val="0C3A367E"/>
    <w:rsid w:val="0E403D1E"/>
    <w:rsid w:val="11632A7A"/>
    <w:rsid w:val="11E1507D"/>
    <w:rsid w:val="12130868"/>
    <w:rsid w:val="13120B8E"/>
    <w:rsid w:val="14A2142E"/>
    <w:rsid w:val="14B2056E"/>
    <w:rsid w:val="15704C39"/>
    <w:rsid w:val="15EF58A5"/>
    <w:rsid w:val="16D31961"/>
    <w:rsid w:val="193208CA"/>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23568"/>
    <w:rsid w:val="306F33FB"/>
    <w:rsid w:val="33444887"/>
    <w:rsid w:val="340B05CA"/>
    <w:rsid w:val="349A01E6"/>
    <w:rsid w:val="357018C9"/>
    <w:rsid w:val="36FD6B0A"/>
    <w:rsid w:val="377B0DE5"/>
    <w:rsid w:val="378368B1"/>
    <w:rsid w:val="3811282F"/>
    <w:rsid w:val="388234B9"/>
    <w:rsid w:val="38F24FDF"/>
    <w:rsid w:val="39691DAD"/>
    <w:rsid w:val="3AFA6A91"/>
    <w:rsid w:val="3B873AAD"/>
    <w:rsid w:val="3D0D6E16"/>
    <w:rsid w:val="3E557B31"/>
    <w:rsid w:val="40786146"/>
    <w:rsid w:val="415D765F"/>
    <w:rsid w:val="41F82BFF"/>
    <w:rsid w:val="42954217"/>
    <w:rsid w:val="44DC5C91"/>
    <w:rsid w:val="48B869E3"/>
    <w:rsid w:val="49283978"/>
    <w:rsid w:val="4AC3598A"/>
    <w:rsid w:val="4B7021FD"/>
    <w:rsid w:val="4C134D64"/>
    <w:rsid w:val="4F7B0D68"/>
    <w:rsid w:val="508B4EF2"/>
    <w:rsid w:val="537D78B7"/>
    <w:rsid w:val="541325BE"/>
    <w:rsid w:val="5511346F"/>
    <w:rsid w:val="55D76AD1"/>
    <w:rsid w:val="56487F34"/>
    <w:rsid w:val="58B018A6"/>
    <w:rsid w:val="5BB74793"/>
    <w:rsid w:val="5BE6321A"/>
    <w:rsid w:val="5CD56B1E"/>
    <w:rsid w:val="5F2F3419"/>
    <w:rsid w:val="60171C22"/>
    <w:rsid w:val="63336920"/>
    <w:rsid w:val="655C4AEF"/>
    <w:rsid w:val="66412851"/>
    <w:rsid w:val="66FB7D69"/>
    <w:rsid w:val="67E006C9"/>
    <w:rsid w:val="68157142"/>
    <w:rsid w:val="691B22B4"/>
    <w:rsid w:val="6A2B3A0D"/>
    <w:rsid w:val="6AAB3319"/>
    <w:rsid w:val="6BB03CB8"/>
    <w:rsid w:val="6CB05A43"/>
    <w:rsid w:val="6CB87515"/>
    <w:rsid w:val="6CE67E6E"/>
    <w:rsid w:val="6D3548D7"/>
    <w:rsid w:val="6DC84A4D"/>
    <w:rsid w:val="6E974D91"/>
    <w:rsid w:val="6FCE5EC2"/>
    <w:rsid w:val="6FF50FF2"/>
    <w:rsid w:val="70B357DC"/>
    <w:rsid w:val="741371F5"/>
    <w:rsid w:val="741E65FE"/>
    <w:rsid w:val="755E5F99"/>
    <w:rsid w:val="772B353E"/>
    <w:rsid w:val="7D1742CC"/>
    <w:rsid w:val="7E212347"/>
    <w:rsid w:val="7E4A565C"/>
    <w:rsid w:val="7E857F9E"/>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autoRedefine/>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1"/>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2"/>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3"/>
    <w:autoRedefine/>
    <w:qFormat/>
    <w:uiPriority w:val="0"/>
    <w:rPr>
      <w:rFonts w:ascii="宋体" w:hAnsi="Courier New"/>
      <w:szCs w:val="21"/>
    </w:rPr>
  </w:style>
  <w:style w:type="paragraph" w:styleId="17">
    <w:name w:val="Date"/>
    <w:basedOn w:val="1"/>
    <w:next w:val="1"/>
    <w:link w:val="44"/>
    <w:autoRedefine/>
    <w:qFormat/>
    <w:uiPriority w:val="0"/>
    <w:pPr>
      <w:ind w:left="100" w:leftChars="2500"/>
    </w:pPr>
  </w:style>
  <w:style w:type="paragraph" w:styleId="18">
    <w:name w:val="Balloon Text"/>
    <w:basedOn w:val="1"/>
    <w:link w:val="45"/>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qFormat/>
    <w:uiPriority w:val="0"/>
    <w:rPr>
      <w:b/>
      <w:bCs/>
    </w:rPr>
  </w:style>
  <w:style w:type="paragraph" w:styleId="25">
    <w:name w:val="Body Text First Indent 2"/>
    <w:basedOn w:val="15"/>
    <w:link w:val="48"/>
    <w:autoRedefine/>
    <w:qFormat/>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autoRedefine/>
    <w:qFormat/>
    <w:uiPriority w:val="0"/>
    <w:rPr>
      <w:rFonts w:ascii="Arial" w:hAnsi="Arial" w:eastAsia="黑体"/>
      <w:b/>
      <w:bCs/>
      <w:kern w:val="2"/>
      <w:sz w:val="32"/>
      <w:szCs w:val="32"/>
      <w:lang w:val="en-US" w:eastAsia="zh-CN" w:bidi="ar-SA"/>
    </w:rPr>
  </w:style>
  <w:style w:type="character" w:customStyle="1" w:styleId="35">
    <w:name w:val="标题 3 Char"/>
    <w:link w:val="4"/>
    <w:autoRedefine/>
    <w:qFormat/>
    <w:uiPriority w:val="0"/>
    <w:rPr>
      <w:b/>
      <w:bCs/>
      <w:kern w:val="2"/>
      <w:sz w:val="32"/>
      <w:szCs w:val="32"/>
    </w:rPr>
  </w:style>
  <w:style w:type="character" w:customStyle="1" w:styleId="36">
    <w:name w:val="标题 5 Char"/>
    <w:link w:val="6"/>
    <w:autoRedefine/>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autoRedefine/>
    <w:qFormat/>
    <w:uiPriority w:val="9"/>
    <w:rPr>
      <w:rFonts w:ascii="Calibri" w:hAnsi="Calibri" w:cs="Calibri"/>
      <w:b/>
      <w:bCs/>
      <w:kern w:val="2"/>
      <w:sz w:val="24"/>
      <w:szCs w:val="24"/>
    </w:rPr>
  </w:style>
  <w:style w:type="character" w:customStyle="1" w:styleId="39">
    <w:name w:val="标题 8 Char"/>
    <w:link w:val="9"/>
    <w:autoRedefine/>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autoRedefine/>
    <w:qFormat/>
    <w:uiPriority w:val="0"/>
    <w:rPr>
      <w:kern w:val="2"/>
      <w:sz w:val="21"/>
      <w:szCs w:val="24"/>
    </w:rPr>
  </w:style>
  <w:style w:type="character" w:customStyle="1" w:styleId="42">
    <w:name w:val="批注文字 Char"/>
    <w:link w:val="13"/>
    <w:autoRedefine/>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autoRedefine/>
    <w:qFormat/>
    <w:uiPriority w:val="0"/>
    <w:rPr>
      <w:kern w:val="2"/>
      <w:sz w:val="18"/>
      <w:szCs w:val="18"/>
    </w:rPr>
  </w:style>
  <w:style w:type="character" w:customStyle="1" w:styleId="46">
    <w:name w:val="HTML 预设格式 Char"/>
    <w:link w:val="22"/>
    <w:autoRedefine/>
    <w:semiHidden/>
    <w:qFormat/>
    <w:uiPriority w:val="0"/>
    <w:rPr>
      <w:rFonts w:ascii="宋体" w:hAnsi="宋体" w:eastAsia="宋体" w:cs="宋体"/>
      <w:sz w:val="24"/>
      <w:szCs w:val="24"/>
      <w:lang w:val="en-US" w:eastAsia="zh-CN" w:bidi="ar-SA"/>
    </w:rPr>
  </w:style>
  <w:style w:type="character" w:customStyle="1" w:styleId="47">
    <w:name w:val="批注主题 Char"/>
    <w:link w:val="24"/>
    <w:autoRedefine/>
    <w:qFormat/>
    <w:uiPriority w:val="0"/>
    <w:rPr>
      <w:b/>
      <w:bCs/>
      <w:kern w:val="2"/>
      <w:sz w:val="21"/>
      <w:szCs w:val="24"/>
    </w:rPr>
  </w:style>
  <w:style w:type="character" w:customStyle="1" w:styleId="48">
    <w:name w:val="正文首行缩进 2 Char"/>
    <w:link w:val="25"/>
    <w:autoRedefine/>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autoRedefine/>
    <w:qFormat/>
    <w:uiPriority w:val="0"/>
    <w:rPr>
      <w:rFonts w:ascii="Calibri" w:hAnsi="Calibri" w:eastAsia="宋体"/>
      <w:kern w:val="2"/>
      <w:sz w:val="21"/>
      <w:szCs w:val="22"/>
      <w:lang w:bidi="ar-SA"/>
    </w:rPr>
  </w:style>
  <w:style w:type="paragraph" w:styleId="50">
    <w:name w:val="List Paragraph"/>
    <w:basedOn w:val="1"/>
    <w:link w:val="49"/>
    <w:autoRedefine/>
    <w:qFormat/>
    <w:uiPriority w:val="99"/>
    <w:pPr>
      <w:ind w:firstLine="420" w:firstLineChars="200"/>
    </w:pPr>
    <w:rPr>
      <w:szCs w:val="22"/>
    </w:rPr>
  </w:style>
  <w:style w:type="character" w:customStyle="1" w:styleId="51">
    <w:name w:val="apple-converted-space"/>
    <w:autoRedefine/>
    <w:qFormat/>
    <w:uiPriority w:val="0"/>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autoRedefine/>
    <w:qFormat/>
    <w:uiPriority w:val="0"/>
    <w:rPr>
      <w:rFonts w:ascii="Tahoma" w:hAnsi="Tahoma"/>
      <w:b/>
      <w:kern w:val="0"/>
      <w:sz w:val="28"/>
      <w:szCs w:val="20"/>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autoRedefine/>
    <w:qFormat/>
    <w:uiPriority w:val="0"/>
    <w:pPr>
      <w:spacing w:before="156" w:line="360" w:lineRule="auto"/>
      <w:ind w:firstLine="510" w:firstLineChars="200"/>
    </w:pPr>
    <w:rPr>
      <w:sz w:val="24"/>
      <w:szCs w:val="20"/>
    </w:rPr>
  </w:style>
  <w:style w:type="paragraph" w:customStyle="1" w:styleId="6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autoRedefine/>
    <w:qFormat/>
    <w:uiPriority w:val="0"/>
    <w:pPr>
      <w:ind w:firstLine="420" w:firstLineChars="200"/>
    </w:pPr>
    <w:rPr>
      <w:rFonts w:ascii="Calibri" w:hAnsi="Calibri"/>
      <w:szCs w:val="22"/>
    </w:rPr>
  </w:style>
  <w:style w:type="paragraph" w:customStyle="1" w:styleId="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autoRedefine/>
    <w:qFormat/>
    <w:uiPriority w:val="0"/>
    <w:pPr>
      <w:spacing w:line="360" w:lineRule="auto"/>
      <w:ind w:firstLine="480"/>
    </w:pPr>
    <w:rPr>
      <w:rFonts w:ascii="宋体" w:hAnsi="宋体"/>
      <w:sz w:val="24"/>
      <w:szCs w:val="22"/>
    </w:rPr>
  </w:style>
  <w:style w:type="paragraph" w:customStyle="1" w:styleId="6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autoRedefine/>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autoRedefine/>
    <w:qFormat/>
    <w:uiPriority w:val="0"/>
    <w:pPr>
      <w:ind w:left="991" w:leftChars="472"/>
    </w:pPr>
    <w:rPr>
      <w:rFonts w:ascii="宋体" w:hAnsi="宋体" w:eastAsia="宋体" w:cs="Times New Roman"/>
      <w:color w:val="000000"/>
      <w:szCs w:val="21"/>
    </w:rPr>
  </w:style>
  <w:style w:type="paragraph" w:customStyle="1" w:styleId="8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autoRedefine/>
    <w:qFormat/>
    <w:uiPriority w:val="0"/>
    <w:pPr>
      <w:ind w:firstLine="420" w:firstLineChars="200"/>
    </w:pPr>
    <w:rPr>
      <w:kern w:val="0"/>
      <w:sz w:val="24"/>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autoRedefine/>
    <w:qFormat/>
    <w:uiPriority w:val="0"/>
    <w:rPr>
      <w:rFonts w:ascii="Times New Roman" w:hAnsi="Times New Roman"/>
      <w:sz w:val="24"/>
      <w:szCs w:val="20"/>
    </w:rPr>
  </w:style>
  <w:style w:type="paragraph" w:customStyle="1" w:styleId="112">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样式 首行缩进:  2 字符"/>
    <w:basedOn w:val="1"/>
    <w:autoRedefine/>
    <w:qFormat/>
    <w:uiPriority w:val="0"/>
    <w:pPr>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3542</Words>
  <Characters>3683</Characters>
  <Lines>32</Lines>
  <Paragraphs>9</Paragraphs>
  <TotalTime>0</TotalTime>
  <ScaleCrop>false</ScaleCrop>
  <LinksUpToDate>false</LinksUpToDate>
  <CharactersWithSpaces>4117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2024-05-29T01:02:18Z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24AAA82D0520421CAA31CCBFBBC9B4D2_13</vt:lpwstr>
  </property>
</Properties>
</file>